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AB1E" w14:textId="646DFA5D" w:rsidR="0020196A" w:rsidRDefault="0020196A" w:rsidP="0020196A">
      <w:pPr>
        <w:rPr>
          <w:rFonts w:ascii="Verdana" w:hAnsi="Verdana" w:cstheme="minorHAnsi"/>
          <w:b/>
          <w:sz w:val="22"/>
          <w:szCs w:val="22"/>
        </w:rPr>
      </w:pPr>
      <w:bookmarkStart w:id="0" w:name="_GoBack"/>
      <w:bookmarkEnd w:id="0"/>
    </w:p>
    <w:sdt>
      <w:sdtPr>
        <w:rPr>
          <w:rFonts w:ascii="Times New Roman" w:eastAsia="Times New Roman" w:hAnsi="Times New Roman" w:cs="Times New Roman"/>
          <w:b w:val="0"/>
          <w:sz w:val="24"/>
          <w:szCs w:val="20"/>
          <w:lang w:val="en-GB" w:eastAsia="en-GB"/>
        </w:rPr>
        <w:id w:val="6183269"/>
        <w:docPartObj>
          <w:docPartGallery w:val="Table of Contents"/>
          <w:docPartUnique/>
        </w:docPartObj>
      </w:sdtPr>
      <w:sdtEndPr>
        <w:rPr>
          <w:bCs/>
          <w:noProof/>
        </w:rPr>
      </w:sdtEndPr>
      <w:sdtContent>
        <w:p w14:paraId="4C821158" w14:textId="13E72F75" w:rsidR="00800DC0" w:rsidRDefault="00800DC0" w:rsidP="00800DC0">
          <w:pPr>
            <w:pStyle w:val="TOCHeading"/>
          </w:pPr>
          <w:r>
            <w:t>Contents</w:t>
          </w:r>
        </w:p>
        <w:p w14:paraId="32C068C5" w14:textId="77777777" w:rsidR="00821E52" w:rsidRDefault="00800DC0">
          <w:pPr>
            <w:pStyle w:val="TOC1"/>
            <w:tabs>
              <w:tab w:val="right" w:leader="dot" w:pos="985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625900" w:history="1">
            <w:r w:rsidR="00821E52" w:rsidRPr="00E36F9B">
              <w:rPr>
                <w:rStyle w:val="Hyperlink"/>
                <w:noProof/>
              </w:rPr>
              <w:t>1.0 Introduction</w:t>
            </w:r>
            <w:r w:rsidR="00821E52">
              <w:rPr>
                <w:noProof/>
                <w:webHidden/>
              </w:rPr>
              <w:tab/>
            </w:r>
            <w:r w:rsidR="00821E52">
              <w:rPr>
                <w:noProof/>
                <w:webHidden/>
              </w:rPr>
              <w:fldChar w:fldCharType="begin"/>
            </w:r>
            <w:r w:rsidR="00821E52">
              <w:rPr>
                <w:noProof/>
                <w:webHidden/>
              </w:rPr>
              <w:instrText xml:space="preserve"> PAGEREF _Toc59625900 \h </w:instrText>
            </w:r>
            <w:r w:rsidR="00821E52">
              <w:rPr>
                <w:noProof/>
                <w:webHidden/>
              </w:rPr>
            </w:r>
            <w:r w:rsidR="00821E52">
              <w:rPr>
                <w:noProof/>
                <w:webHidden/>
              </w:rPr>
              <w:fldChar w:fldCharType="separate"/>
            </w:r>
            <w:r w:rsidR="00821E52">
              <w:rPr>
                <w:noProof/>
                <w:webHidden/>
              </w:rPr>
              <w:t>1</w:t>
            </w:r>
            <w:r w:rsidR="00821E52">
              <w:rPr>
                <w:noProof/>
                <w:webHidden/>
              </w:rPr>
              <w:fldChar w:fldCharType="end"/>
            </w:r>
          </w:hyperlink>
        </w:p>
        <w:p w14:paraId="1A801D38"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01" w:history="1">
            <w:r w:rsidR="00821E52" w:rsidRPr="00E36F9B">
              <w:rPr>
                <w:rStyle w:val="Hyperlink"/>
                <w:noProof/>
              </w:rPr>
              <w:t>2.0 Scope</w:t>
            </w:r>
            <w:r w:rsidR="00821E52">
              <w:rPr>
                <w:noProof/>
                <w:webHidden/>
              </w:rPr>
              <w:tab/>
            </w:r>
            <w:r w:rsidR="00821E52">
              <w:rPr>
                <w:noProof/>
                <w:webHidden/>
              </w:rPr>
              <w:fldChar w:fldCharType="begin"/>
            </w:r>
            <w:r w:rsidR="00821E52">
              <w:rPr>
                <w:noProof/>
                <w:webHidden/>
              </w:rPr>
              <w:instrText xml:space="preserve"> PAGEREF _Toc59625901 \h </w:instrText>
            </w:r>
            <w:r w:rsidR="00821E52">
              <w:rPr>
                <w:noProof/>
                <w:webHidden/>
              </w:rPr>
            </w:r>
            <w:r w:rsidR="00821E52">
              <w:rPr>
                <w:noProof/>
                <w:webHidden/>
              </w:rPr>
              <w:fldChar w:fldCharType="separate"/>
            </w:r>
            <w:r w:rsidR="00821E52">
              <w:rPr>
                <w:noProof/>
                <w:webHidden/>
              </w:rPr>
              <w:t>1</w:t>
            </w:r>
            <w:r w:rsidR="00821E52">
              <w:rPr>
                <w:noProof/>
                <w:webHidden/>
              </w:rPr>
              <w:fldChar w:fldCharType="end"/>
            </w:r>
          </w:hyperlink>
        </w:p>
        <w:p w14:paraId="3FEDA40B"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02" w:history="1">
            <w:r w:rsidR="00821E52" w:rsidRPr="00E36F9B">
              <w:rPr>
                <w:rStyle w:val="Hyperlink"/>
                <w:noProof/>
              </w:rPr>
              <w:t>3.0 Responsibilities</w:t>
            </w:r>
            <w:r w:rsidR="00821E52">
              <w:rPr>
                <w:noProof/>
                <w:webHidden/>
              </w:rPr>
              <w:tab/>
            </w:r>
            <w:r w:rsidR="00821E52">
              <w:rPr>
                <w:noProof/>
                <w:webHidden/>
              </w:rPr>
              <w:fldChar w:fldCharType="begin"/>
            </w:r>
            <w:r w:rsidR="00821E52">
              <w:rPr>
                <w:noProof/>
                <w:webHidden/>
              </w:rPr>
              <w:instrText xml:space="preserve"> PAGEREF _Toc59625902 \h </w:instrText>
            </w:r>
            <w:r w:rsidR="00821E52">
              <w:rPr>
                <w:noProof/>
                <w:webHidden/>
              </w:rPr>
            </w:r>
            <w:r w:rsidR="00821E52">
              <w:rPr>
                <w:noProof/>
                <w:webHidden/>
              </w:rPr>
              <w:fldChar w:fldCharType="separate"/>
            </w:r>
            <w:r w:rsidR="00821E52">
              <w:rPr>
                <w:noProof/>
                <w:webHidden/>
              </w:rPr>
              <w:t>1</w:t>
            </w:r>
            <w:r w:rsidR="00821E52">
              <w:rPr>
                <w:noProof/>
                <w:webHidden/>
              </w:rPr>
              <w:fldChar w:fldCharType="end"/>
            </w:r>
          </w:hyperlink>
        </w:p>
        <w:p w14:paraId="1ABB0467"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03" w:history="1">
            <w:r w:rsidR="00821E52" w:rsidRPr="00E36F9B">
              <w:rPr>
                <w:rStyle w:val="Hyperlink"/>
                <w:noProof/>
              </w:rPr>
              <w:t>4.0 Procedure</w:t>
            </w:r>
            <w:r w:rsidR="00821E52">
              <w:rPr>
                <w:noProof/>
                <w:webHidden/>
              </w:rPr>
              <w:tab/>
            </w:r>
            <w:r w:rsidR="00821E52">
              <w:rPr>
                <w:noProof/>
                <w:webHidden/>
              </w:rPr>
              <w:fldChar w:fldCharType="begin"/>
            </w:r>
            <w:r w:rsidR="00821E52">
              <w:rPr>
                <w:noProof/>
                <w:webHidden/>
              </w:rPr>
              <w:instrText xml:space="preserve"> PAGEREF _Toc59625903 \h </w:instrText>
            </w:r>
            <w:r w:rsidR="00821E52">
              <w:rPr>
                <w:noProof/>
                <w:webHidden/>
              </w:rPr>
            </w:r>
            <w:r w:rsidR="00821E52">
              <w:rPr>
                <w:noProof/>
                <w:webHidden/>
              </w:rPr>
              <w:fldChar w:fldCharType="separate"/>
            </w:r>
            <w:r w:rsidR="00821E52">
              <w:rPr>
                <w:noProof/>
                <w:webHidden/>
              </w:rPr>
              <w:t>2</w:t>
            </w:r>
            <w:r w:rsidR="00821E52">
              <w:rPr>
                <w:noProof/>
                <w:webHidden/>
              </w:rPr>
              <w:fldChar w:fldCharType="end"/>
            </w:r>
          </w:hyperlink>
        </w:p>
        <w:p w14:paraId="13A4A50F"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04" w:history="1">
            <w:r w:rsidR="00821E52" w:rsidRPr="00E36F9B">
              <w:rPr>
                <w:rStyle w:val="Hyperlink"/>
                <w:noProof/>
              </w:rPr>
              <w:t>4.1 Eligibility</w:t>
            </w:r>
            <w:r w:rsidR="00821E52">
              <w:rPr>
                <w:noProof/>
                <w:webHidden/>
              </w:rPr>
              <w:tab/>
            </w:r>
            <w:r w:rsidR="00821E52">
              <w:rPr>
                <w:noProof/>
                <w:webHidden/>
              </w:rPr>
              <w:fldChar w:fldCharType="begin"/>
            </w:r>
            <w:r w:rsidR="00821E52">
              <w:rPr>
                <w:noProof/>
                <w:webHidden/>
              </w:rPr>
              <w:instrText xml:space="preserve"> PAGEREF _Toc59625904 \h </w:instrText>
            </w:r>
            <w:r w:rsidR="00821E52">
              <w:rPr>
                <w:noProof/>
                <w:webHidden/>
              </w:rPr>
            </w:r>
            <w:r w:rsidR="00821E52">
              <w:rPr>
                <w:noProof/>
                <w:webHidden/>
              </w:rPr>
              <w:fldChar w:fldCharType="separate"/>
            </w:r>
            <w:r w:rsidR="00821E52">
              <w:rPr>
                <w:noProof/>
                <w:webHidden/>
              </w:rPr>
              <w:t>2</w:t>
            </w:r>
            <w:r w:rsidR="00821E52">
              <w:rPr>
                <w:noProof/>
                <w:webHidden/>
              </w:rPr>
              <w:fldChar w:fldCharType="end"/>
            </w:r>
          </w:hyperlink>
        </w:p>
        <w:p w14:paraId="2E5CE86C" w14:textId="77777777" w:rsidR="00821E52" w:rsidRDefault="00F355DC">
          <w:pPr>
            <w:pStyle w:val="TOC1"/>
            <w:tabs>
              <w:tab w:val="left" w:pos="660"/>
              <w:tab w:val="right" w:leader="dot" w:pos="9857"/>
            </w:tabs>
            <w:rPr>
              <w:rFonts w:asciiTheme="minorHAnsi" w:eastAsiaTheme="minorEastAsia" w:hAnsiTheme="minorHAnsi" w:cstheme="minorBidi"/>
              <w:noProof/>
              <w:sz w:val="22"/>
              <w:szCs w:val="22"/>
            </w:rPr>
          </w:pPr>
          <w:hyperlink w:anchor="_Toc59625905" w:history="1">
            <w:r w:rsidR="00821E52" w:rsidRPr="00E36F9B">
              <w:rPr>
                <w:rStyle w:val="Hyperlink"/>
                <w:noProof/>
              </w:rPr>
              <w:t>4.2</w:t>
            </w:r>
            <w:r w:rsidR="00821E52">
              <w:rPr>
                <w:rFonts w:asciiTheme="minorHAnsi" w:eastAsiaTheme="minorEastAsia" w:hAnsiTheme="minorHAnsi" w:cstheme="minorBidi"/>
                <w:noProof/>
                <w:sz w:val="22"/>
                <w:szCs w:val="22"/>
              </w:rPr>
              <w:tab/>
            </w:r>
            <w:r w:rsidR="00821E52" w:rsidRPr="00E36F9B">
              <w:rPr>
                <w:rStyle w:val="Hyperlink"/>
                <w:noProof/>
              </w:rPr>
              <w:t>Identification of eligible patients and submission of tumour samples</w:t>
            </w:r>
            <w:r w:rsidR="00821E52">
              <w:rPr>
                <w:noProof/>
                <w:webHidden/>
              </w:rPr>
              <w:tab/>
            </w:r>
            <w:r w:rsidR="00821E52">
              <w:rPr>
                <w:noProof/>
                <w:webHidden/>
              </w:rPr>
              <w:fldChar w:fldCharType="begin"/>
            </w:r>
            <w:r w:rsidR="00821E52">
              <w:rPr>
                <w:noProof/>
                <w:webHidden/>
              </w:rPr>
              <w:instrText xml:space="preserve"> PAGEREF _Toc59625905 \h </w:instrText>
            </w:r>
            <w:r w:rsidR="00821E52">
              <w:rPr>
                <w:noProof/>
                <w:webHidden/>
              </w:rPr>
            </w:r>
            <w:r w:rsidR="00821E52">
              <w:rPr>
                <w:noProof/>
                <w:webHidden/>
              </w:rPr>
              <w:fldChar w:fldCharType="separate"/>
            </w:r>
            <w:r w:rsidR="00821E52">
              <w:rPr>
                <w:noProof/>
                <w:webHidden/>
              </w:rPr>
              <w:t>2</w:t>
            </w:r>
            <w:r w:rsidR="00821E52">
              <w:rPr>
                <w:noProof/>
                <w:webHidden/>
              </w:rPr>
              <w:fldChar w:fldCharType="end"/>
            </w:r>
          </w:hyperlink>
        </w:p>
        <w:p w14:paraId="3D4D4503" w14:textId="77777777" w:rsidR="00821E52" w:rsidRDefault="00F355DC">
          <w:pPr>
            <w:pStyle w:val="TOC1"/>
            <w:tabs>
              <w:tab w:val="left" w:pos="660"/>
              <w:tab w:val="right" w:leader="dot" w:pos="9857"/>
            </w:tabs>
            <w:rPr>
              <w:rFonts w:asciiTheme="minorHAnsi" w:eastAsiaTheme="minorEastAsia" w:hAnsiTheme="minorHAnsi" w:cstheme="minorBidi"/>
              <w:noProof/>
              <w:sz w:val="22"/>
              <w:szCs w:val="22"/>
            </w:rPr>
          </w:pPr>
          <w:hyperlink w:anchor="_Toc59625906" w:history="1">
            <w:r w:rsidR="00821E52" w:rsidRPr="00E36F9B">
              <w:rPr>
                <w:rStyle w:val="Hyperlink"/>
                <w:noProof/>
              </w:rPr>
              <w:t>4.3</w:t>
            </w:r>
            <w:r w:rsidR="00821E52">
              <w:rPr>
                <w:rFonts w:asciiTheme="minorHAnsi" w:eastAsiaTheme="minorEastAsia" w:hAnsiTheme="minorHAnsi" w:cstheme="minorBidi"/>
                <w:noProof/>
                <w:sz w:val="22"/>
                <w:szCs w:val="22"/>
              </w:rPr>
              <w:tab/>
            </w:r>
            <w:r w:rsidR="00821E52" w:rsidRPr="00E36F9B">
              <w:rPr>
                <w:rStyle w:val="Hyperlink"/>
                <w:noProof/>
              </w:rPr>
              <w:t>Submission of germline DNA samples</w:t>
            </w:r>
            <w:r w:rsidR="00821E52">
              <w:rPr>
                <w:noProof/>
                <w:webHidden/>
              </w:rPr>
              <w:tab/>
            </w:r>
            <w:r w:rsidR="00821E52">
              <w:rPr>
                <w:noProof/>
                <w:webHidden/>
              </w:rPr>
              <w:fldChar w:fldCharType="begin"/>
            </w:r>
            <w:r w:rsidR="00821E52">
              <w:rPr>
                <w:noProof/>
                <w:webHidden/>
              </w:rPr>
              <w:instrText xml:space="preserve"> PAGEREF _Toc59625906 \h </w:instrText>
            </w:r>
            <w:r w:rsidR="00821E52">
              <w:rPr>
                <w:noProof/>
                <w:webHidden/>
              </w:rPr>
            </w:r>
            <w:r w:rsidR="00821E52">
              <w:rPr>
                <w:noProof/>
                <w:webHidden/>
              </w:rPr>
              <w:fldChar w:fldCharType="separate"/>
            </w:r>
            <w:r w:rsidR="00821E52">
              <w:rPr>
                <w:noProof/>
                <w:webHidden/>
              </w:rPr>
              <w:t>4</w:t>
            </w:r>
            <w:r w:rsidR="00821E52">
              <w:rPr>
                <w:noProof/>
                <w:webHidden/>
              </w:rPr>
              <w:fldChar w:fldCharType="end"/>
            </w:r>
          </w:hyperlink>
        </w:p>
        <w:p w14:paraId="585D4C65" w14:textId="77777777" w:rsidR="00821E52" w:rsidRDefault="00F355DC">
          <w:pPr>
            <w:pStyle w:val="TOC1"/>
            <w:tabs>
              <w:tab w:val="left" w:pos="660"/>
              <w:tab w:val="right" w:leader="dot" w:pos="9857"/>
            </w:tabs>
            <w:rPr>
              <w:rFonts w:asciiTheme="minorHAnsi" w:eastAsiaTheme="minorEastAsia" w:hAnsiTheme="minorHAnsi" w:cstheme="minorBidi"/>
              <w:noProof/>
              <w:sz w:val="22"/>
              <w:szCs w:val="22"/>
            </w:rPr>
          </w:pPr>
          <w:hyperlink w:anchor="_Toc59625907" w:history="1">
            <w:r w:rsidR="00821E52" w:rsidRPr="00E36F9B">
              <w:rPr>
                <w:rStyle w:val="Hyperlink"/>
                <w:noProof/>
              </w:rPr>
              <w:t>4.4</w:t>
            </w:r>
            <w:r w:rsidR="00821E52">
              <w:rPr>
                <w:rFonts w:asciiTheme="minorHAnsi" w:eastAsiaTheme="minorEastAsia" w:hAnsiTheme="minorHAnsi" w:cstheme="minorBidi"/>
                <w:noProof/>
                <w:sz w:val="22"/>
                <w:szCs w:val="22"/>
              </w:rPr>
              <w:tab/>
            </w:r>
            <w:r w:rsidR="00821E52" w:rsidRPr="00E36F9B">
              <w:rPr>
                <w:rStyle w:val="Hyperlink"/>
                <w:noProof/>
              </w:rPr>
              <w:t>Record of patient choice discussion</w:t>
            </w:r>
            <w:r w:rsidR="00821E52">
              <w:rPr>
                <w:noProof/>
                <w:webHidden/>
              </w:rPr>
              <w:tab/>
            </w:r>
            <w:r w:rsidR="00821E52">
              <w:rPr>
                <w:noProof/>
                <w:webHidden/>
              </w:rPr>
              <w:fldChar w:fldCharType="begin"/>
            </w:r>
            <w:r w:rsidR="00821E52">
              <w:rPr>
                <w:noProof/>
                <w:webHidden/>
              </w:rPr>
              <w:instrText xml:space="preserve"> PAGEREF _Toc59625907 \h </w:instrText>
            </w:r>
            <w:r w:rsidR="00821E52">
              <w:rPr>
                <w:noProof/>
                <w:webHidden/>
              </w:rPr>
            </w:r>
            <w:r w:rsidR="00821E52">
              <w:rPr>
                <w:noProof/>
                <w:webHidden/>
              </w:rPr>
              <w:fldChar w:fldCharType="separate"/>
            </w:r>
            <w:r w:rsidR="00821E52">
              <w:rPr>
                <w:noProof/>
                <w:webHidden/>
              </w:rPr>
              <w:t>6</w:t>
            </w:r>
            <w:r w:rsidR="00821E52">
              <w:rPr>
                <w:noProof/>
                <w:webHidden/>
              </w:rPr>
              <w:fldChar w:fldCharType="end"/>
            </w:r>
          </w:hyperlink>
        </w:p>
        <w:p w14:paraId="0E48A366" w14:textId="77777777" w:rsidR="00821E52" w:rsidRDefault="00F355DC">
          <w:pPr>
            <w:pStyle w:val="TOC1"/>
            <w:tabs>
              <w:tab w:val="left" w:pos="660"/>
              <w:tab w:val="right" w:leader="dot" w:pos="9857"/>
            </w:tabs>
            <w:rPr>
              <w:rFonts w:asciiTheme="minorHAnsi" w:eastAsiaTheme="minorEastAsia" w:hAnsiTheme="minorHAnsi" w:cstheme="minorBidi"/>
              <w:noProof/>
              <w:sz w:val="22"/>
              <w:szCs w:val="22"/>
            </w:rPr>
          </w:pPr>
          <w:hyperlink w:anchor="_Toc59625908" w:history="1">
            <w:r w:rsidR="00821E52" w:rsidRPr="00E36F9B">
              <w:rPr>
                <w:rStyle w:val="Hyperlink"/>
                <w:noProof/>
              </w:rPr>
              <w:t>4.5</w:t>
            </w:r>
            <w:r w:rsidR="00821E52">
              <w:rPr>
                <w:rFonts w:asciiTheme="minorHAnsi" w:eastAsiaTheme="minorEastAsia" w:hAnsiTheme="minorHAnsi" w:cstheme="minorBidi"/>
                <w:noProof/>
                <w:sz w:val="22"/>
                <w:szCs w:val="22"/>
              </w:rPr>
              <w:tab/>
            </w:r>
            <w:r w:rsidR="00821E52" w:rsidRPr="00E36F9B">
              <w:rPr>
                <w:rStyle w:val="Hyperlink"/>
                <w:noProof/>
              </w:rPr>
              <w:t>Sample tracking</w:t>
            </w:r>
            <w:r w:rsidR="00821E52">
              <w:rPr>
                <w:noProof/>
                <w:webHidden/>
              </w:rPr>
              <w:tab/>
            </w:r>
            <w:r w:rsidR="00821E52">
              <w:rPr>
                <w:noProof/>
                <w:webHidden/>
              </w:rPr>
              <w:fldChar w:fldCharType="begin"/>
            </w:r>
            <w:r w:rsidR="00821E52">
              <w:rPr>
                <w:noProof/>
                <w:webHidden/>
              </w:rPr>
              <w:instrText xml:space="preserve"> PAGEREF _Toc59625908 \h </w:instrText>
            </w:r>
            <w:r w:rsidR="00821E52">
              <w:rPr>
                <w:noProof/>
                <w:webHidden/>
              </w:rPr>
            </w:r>
            <w:r w:rsidR="00821E52">
              <w:rPr>
                <w:noProof/>
                <w:webHidden/>
              </w:rPr>
              <w:fldChar w:fldCharType="separate"/>
            </w:r>
            <w:r w:rsidR="00821E52">
              <w:rPr>
                <w:noProof/>
                <w:webHidden/>
              </w:rPr>
              <w:t>7</w:t>
            </w:r>
            <w:r w:rsidR="00821E52">
              <w:rPr>
                <w:noProof/>
                <w:webHidden/>
              </w:rPr>
              <w:fldChar w:fldCharType="end"/>
            </w:r>
          </w:hyperlink>
        </w:p>
        <w:p w14:paraId="13B13854" w14:textId="77777777" w:rsidR="00821E52" w:rsidRDefault="00F355DC">
          <w:pPr>
            <w:pStyle w:val="TOC1"/>
            <w:tabs>
              <w:tab w:val="left" w:pos="660"/>
              <w:tab w:val="right" w:leader="dot" w:pos="9857"/>
            </w:tabs>
            <w:rPr>
              <w:rFonts w:asciiTheme="minorHAnsi" w:eastAsiaTheme="minorEastAsia" w:hAnsiTheme="minorHAnsi" w:cstheme="minorBidi"/>
              <w:noProof/>
              <w:sz w:val="22"/>
              <w:szCs w:val="22"/>
            </w:rPr>
          </w:pPr>
          <w:hyperlink w:anchor="_Toc59625909" w:history="1">
            <w:r w:rsidR="00821E52" w:rsidRPr="00E36F9B">
              <w:rPr>
                <w:rStyle w:val="Hyperlink"/>
                <w:noProof/>
              </w:rPr>
              <w:t xml:space="preserve">4.6 </w:t>
            </w:r>
            <w:r w:rsidR="00821E52">
              <w:rPr>
                <w:rFonts w:asciiTheme="minorHAnsi" w:eastAsiaTheme="minorEastAsia" w:hAnsiTheme="minorHAnsi" w:cstheme="minorBidi"/>
                <w:noProof/>
                <w:sz w:val="22"/>
                <w:szCs w:val="22"/>
              </w:rPr>
              <w:tab/>
            </w:r>
            <w:r w:rsidR="00821E52" w:rsidRPr="00E36F9B">
              <w:rPr>
                <w:rStyle w:val="Hyperlink"/>
                <w:noProof/>
              </w:rPr>
              <w:t>Return of WGS reports and MDT discussion</w:t>
            </w:r>
            <w:r w:rsidR="00821E52">
              <w:rPr>
                <w:noProof/>
                <w:webHidden/>
              </w:rPr>
              <w:tab/>
            </w:r>
            <w:r w:rsidR="00821E52">
              <w:rPr>
                <w:noProof/>
                <w:webHidden/>
              </w:rPr>
              <w:fldChar w:fldCharType="begin"/>
            </w:r>
            <w:r w:rsidR="00821E52">
              <w:rPr>
                <w:noProof/>
                <w:webHidden/>
              </w:rPr>
              <w:instrText xml:space="preserve"> PAGEREF _Toc59625909 \h </w:instrText>
            </w:r>
            <w:r w:rsidR="00821E52">
              <w:rPr>
                <w:noProof/>
                <w:webHidden/>
              </w:rPr>
            </w:r>
            <w:r w:rsidR="00821E52">
              <w:rPr>
                <w:noProof/>
                <w:webHidden/>
              </w:rPr>
              <w:fldChar w:fldCharType="separate"/>
            </w:r>
            <w:r w:rsidR="00821E52">
              <w:rPr>
                <w:noProof/>
                <w:webHidden/>
              </w:rPr>
              <w:t>7</w:t>
            </w:r>
            <w:r w:rsidR="00821E52">
              <w:rPr>
                <w:noProof/>
                <w:webHidden/>
              </w:rPr>
              <w:fldChar w:fldCharType="end"/>
            </w:r>
          </w:hyperlink>
        </w:p>
        <w:p w14:paraId="10CAB1CE"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10" w:history="1">
            <w:r w:rsidR="00821E52" w:rsidRPr="00E36F9B">
              <w:rPr>
                <w:rStyle w:val="Hyperlink"/>
                <w:noProof/>
              </w:rPr>
              <w:t>5.0 References</w:t>
            </w:r>
            <w:r w:rsidR="00821E52">
              <w:rPr>
                <w:noProof/>
                <w:webHidden/>
              </w:rPr>
              <w:tab/>
            </w:r>
            <w:r w:rsidR="00821E52">
              <w:rPr>
                <w:noProof/>
                <w:webHidden/>
              </w:rPr>
              <w:fldChar w:fldCharType="begin"/>
            </w:r>
            <w:r w:rsidR="00821E52">
              <w:rPr>
                <w:noProof/>
                <w:webHidden/>
              </w:rPr>
              <w:instrText xml:space="preserve"> PAGEREF _Toc59625910 \h </w:instrText>
            </w:r>
            <w:r w:rsidR="00821E52">
              <w:rPr>
                <w:noProof/>
                <w:webHidden/>
              </w:rPr>
            </w:r>
            <w:r w:rsidR="00821E52">
              <w:rPr>
                <w:noProof/>
                <w:webHidden/>
              </w:rPr>
              <w:fldChar w:fldCharType="separate"/>
            </w:r>
            <w:r w:rsidR="00821E52">
              <w:rPr>
                <w:noProof/>
                <w:webHidden/>
              </w:rPr>
              <w:t>8</w:t>
            </w:r>
            <w:r w:rsidR="00821E52">
              <w:rPr>
                <w:noProof/>
                <w:webHidden/>
              </w:rPr>
              <w:fldChar w:fldCharType="end"/>
            </w:r>
          </w:hyperlink>
        </w:p>
        <w:p w14:paraId="4B13E3A8"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11" w:history="1">
            <w:r w:rsidR="00821E52" w:rsidRPr="00E36F9B">
              <w:rPr>
                <w:rStyle w:val="Hyperlink"/>
                <w:noProof/>
              </w:rPr>
              <w:t>6.0 Related Documents</w:t>
            </w:r>
            <w:r w:rsidR="00821E52">
              <w:rPr>
                <w:noProof/>
                <w:webHidden/>
              </w:rPr>
              <w:tab/>
            </w:r>
            <w:r w:rsidR="00821E52">
              <w:rPr>
                <w:noProof/>
                <w:webHidden/>
              </w:rPr>
              <w:fldChar w:fldCharType="begin"/>
            </w:r>
            <w:r w:rsidR="00821E52">
              <w:rPr>
                <w:noProof/>
                <w:webHidden/>
              </w:rPr>
              <w:instrText xml:space="preserve"> PAGEREF _Toc59625911 \h </w:instrText>
            </w:r>
            <w:r w:rsidR="00821E52">
              <w:rPr>
                <w:noProof/>
                <w:webHidden/>
              </w:rPr>
            </w:r>
            <w:r w:rsidR="00821E52">
              <w:rPr>
                <w:noProof/>
                <w:webHidden/>
              </w:rPr>
              <w:fldChar w:fldCharType="separate"/>
            </w:r>
            <w:r w:rsidR="00821E52">
              <w:rPr>
                <w:noProof/>
                <w:webHidden/>
              </w:rPr>
              <w:t>8</w:t>
            </w:r>
            <w:r w:rsidR="00821E52">
              <w:rPr>
                <w:noProof/>
                <w:webHidden/>
              </w:rPr>
              <w:fldChar w:fldCharType="end"/>
            </w:r>
          </w:hyperlink>
        </w:p>
        <w:p w14:paraId="55118A3C" w14:textId="77777777" w:rsidR="00821E52" w:rsidRDefault="00F355DC">
          <w:pPr>
            <w:pStyle w:val="TOC1"/>
            <w:tabs>
              <w:tab w:val="right" w:leader="dot" w:pos="9857"/>
            </w:tabs>
            <w:rPr>
              <w:rFonts w:asciiTheme="minorHAnsi" w:eastAsiaTheme="minorEastAsia" w:hAnsiTheme="minorHAnsi" w:cstheme="minorBidi"/>
              <w:noProof/>
              <w:sz w:val="22"/>
              <w:szCs w:val="22"/>
            </w:rPr>
          </w:pPr>
          <w:hyperlink w:anchor="_Toc59625912" w:history="1">
            <w:r w:rsidR="00821E52" w:rsidRPr="00E36F9B">
              <w:rPr>
                <w:rStyle w:val="Hyperlink"/>
                <w:noProof/>
              </w:rPr>
              <w:t>7.0 Monitoring compliance with and the effectiveness of this document</w:t>
            </w:r>
            <w:r w:rsidR="00821E52">
              <w:rPr>
                <w:noProof/>
                <w:webHidden/>
              </w:rPr>
              <w:tab/>
            </w:r>
            <w:r w:rsidR="00821E52">
              <w:rPr>
                <w:noProof/>
                <w:webHidden/>
              </w:rPr>
              <w:fldChar w:fldCharType="begin"/>
            </w:r>
            <w:r w:rsidR="00821E52">
              <w:rPr>
                <w:noProof/>
                <w:webHidden/>
              </w:rPr>
              <w:instrText xml:space="preserve"> PAGEREF _Toc59625912 \h </w:instrText>
            </w:r>
            <w:r w:rsidR="00821E52">
              <w:rPr>
                <w:noProof/>
                <w:webHidden/>
              </w:rPr>
            </w:r>
            <w:r w:rsidR="00821E52">
              <w:rPr>
                <w:noProof/>
                <w:webHidden/>
              </w:rPr>
              <w:fldChar w:fldCharType="separate"/>
            </w:r>
            <w:r w:rsidR="00821E52">
              <w:rPr>
                <w:noProof/>
                <w:webHidden/>
              </w:rPr>
              <w:t>8</w:t>
            </w:r>
            <w:r w:rsidR="00821E52">
              <w:rPr>
                <w:noProof/>
                <w:webHidden/>
              </w:rPr>
              <w:fldChar w:fldCharType="end"/>
            </w:r>
          </w:hyperlink>
        </w:p>
        <w:p w14:paraId="1E4DCA64" w14:textId="66C8A98D" w:rsidR="005F4109" w:rsidRPr="00800DC0" w:rsidRDefault="00800DC0" w:rsidP="00800DC0">
          <w:r>
            <w:rPr>
              <w:b/>
              <w:bCs/>
              <w:noProof/>
            </w:rPr>
            <w:fldChar w:fldCharType="end"/>
          </w:r>
        </w:p>
      </w:sdtContent>
    </w:sdt>
    <w:p w14:paraId="295A2D9B" w14:textId="77777777" w:rsidR="005F4109" w:rsidRPr="00800DC0" w:rsidRDefault="005F4109" w:rsidP="00800DC0">
      <w:pPr>
        <w:pStyle w:val="Heading1"/>
      </w:pPr>
      <w:bookmarkStart w:id="1" w:name="_Toc59625900"/>
      <w:r w:rsidRPr="00800DC0">
        <w:t>1.0 Introduction</w:t>
      </w:r>
      <w:bookmarkEnd w:id="1"/>
    </w:p>
    <w:p w14:paraId="0A1D4DB4" w14:textId="77777777" w:rsidR="0026218A" w:rsidRDefault="0026218A" w:rsidP="0026218A">
      <w:pPr>
        <w:tabs>
          <w:tab w:val="left" w:pos="630"/>
        </w:tabs>
        <w:rPr>
          <w:rFonts w:ascii="Verdana" w:hAnsi="Verdana"/>
          <w:sz w:val="22"/>
          <w:szCs w:val="22"/>
        </w:rPr>
      </w:pPr>
    </w:p>
    <w:p w14:paraId="55B3525D" w14:textId="77777777" w:rsidR="0026218A" w:rsidRDefault="0026218A" w:rsidP="0026218A">
      <w:pPr>
        <w:tabs>
          <w:tab w:val="left" w:pos="630"/>
        </w:tabs>
        <w:rPr>
          <w:rFonts w:ascii="Verdana" w:hAnsi="Verdana"/>
          <w:sz w:val="22"/>
          <w:szCs w:val="22"/>
        </w:rPr>
      </w:pPr>
      <w:r>
        <w:rPr>
          <w:rFonts w:ascii="Verdana" w:hAnsi="Verdana"/>
          <w:sz w:val="22"/>
          <w:szCs w:val="22"/>
        </w:rPr>
        <w:t xml:space="preserve">Whole genome sequencing (WGS) is commissioned for patients with acute leukaemia, childhood malignancies and sarcoma. Unlike current standard of care testing, which will initially be performed in parallel, </w:t>
      </w:r>
      <w:r w:rsidRPr="0037097F">
        <w:rPr>
          <w:rFonts w:ascii="Verdana" w:hAnsi="Verdana"/>
          <w:sz w:val="22"/>
          <w:szCs w:val="22"/>
        </w:rPr>
        <w:t>WGS has the potential to detect all types of somatic and germline mutations (small, structural &amp; copy number variants) in a single test without the need for multiple interrogations of the sample. To gain maximum information from WGS, tumour and germline DNA sampl</w:t>
      </w:r>
      <w:r>
        <w:rPr>
          <w:rFonts w:ascii="Verdana" w:hAnsi="Verdana"/>
          <w:sz w:val="22"/>
          <w:szCs w:val="22"/>
        </w:rPr>
        <w:t>es are sequenced simultaneously,</w:t>
      </w:r>
      <w:r w:rsidRPr="0037097F">
        <w:rPr>
          <w:rFonts w:ascii="Verdana" w:hAnsi="Verdana"/>
          <w:sz w:val="22"/>
          <w:szCs w:val="22"/>
        </w:rPr>
        <w:t xml:space="preserve"> </w:t>
      </w:r>
      <w:r>
        <w:rPr>
          <w:rFonts w:ascii="Verdana" w:hAnsi="Verdana"/>
          <w:sz w:val="22"/>
          <w:szCs w:val="22"/>
        </w:rPr>
        <w:t>allowing</w:t>
      </w:r>
      <w:r w:rsidRPr="0037097F">
        <w:rPr>
          <w:rFonts w:ascii="Verdana" w:hAnsi="Verdana"/>
          <w:sz w:val="22"/>
          <w:szCs w:val="22"/>
        </w:rPr>
        <w:t xml:space="preserve"> subtraction of germline variants from the somatic genome </w:t>
      </w:r>
      <w:r>
        <w:rPr>
          <w:rFonts w:ascii="Verdana" w:hAnsi="Verdana"/>
          <w:sz w:val="22"/>
          <w:szCs w:val="22"/>
        </w:rPr>
        <w:t xml:space="preserve">and </w:t>
      </w:r>
      <w:r w:rsidRPr="0037097F">
        <w:rPr>
          <w:rFonts w:ascii="Verdana" w:hAnsi="Verdana"/>
          <w:sz w:val="22"/>
          <w:szCs w:val="22"/>
        </w:rPr>
        <w:t>meaning there is clear differentiation between germline and somatic variants.</w:t>
      </w:r>
      <w:r>
        <w:rPr>
          <w:rFonts w:ascii="Verdana" w:hAnsi="Verdana"/>
          <w:sz w:val="22"/>
          <w:szCs w:val="22"/>
        </w:rPr>
        <w:t xml:space="preserve"> In the East Midlands and East of England (EMEE), WGS will require receipt of the following at the </w:t>
      </w:r>
      <w:r w:rsidRPr="00EF7F8F">
        <w:rPr>
          <w:rFonts w:ascii="Verdana" w:hAnsi="Verdana"/>
          <w:sz w:val="22"/>
          <w:szCs w:val="22"/>
        </w:rPr>
        <w:t>GLH DNA ext</w:t>
      </w:r>
      <w:r>
        <w:rPr>
          <w:rFonts w:ascii="Verdana" w:hAnsi="Verdana"/>
          <w:sz w:val="22"/>
          <w:szCs w:val="22"/>
        </w:rPr>
        <w:t xml:space="preserve">raction laboratory in Cambridge: </w:t>
      </w:r>
    </w:p>
    <w:p w14:paraId="5B6BAF32" w14:textId="77777777" w:rsidR="0026218A" w:rsidRDefault="0026218A" w:rsidP="0026218A">
      <w:pPr>
        <w:pStyle w:val="ListParagraph"/>
        <w:numPr>
          <w:ilvl w:val="0"/>
          <w:numId w:val="23"/>
        </w:numPr>
        <w:tabs>
          <w:tab w:val="left" w:pos="630"/>
        </w:tabs>
        <w:rPr>
          <w:rFonts w:ascii="Verdana" w:hAnsi="Verdana"/>
          <w:sz w:val="22"/>
          <w:szCs w:val="22"/>
        </w:rPr>
      </w:pPr>
      <w:r>
        <w:rPr>
          <w:rFonts w:ascii="Verdana" w:hAnsi="Verdana"/>
          <w:sz w:val="22"/>
          <w:szCs w:val="22"/>
        </w:rPr>
        <w:t>a Genomic Medicine Service WGS Test Request (Cancer)</w:t>
      </w:r>
    </w:p>
    <w:p w14:paraId="4D2D0334" w14:textId="77777777" w:rsidR="0026218A" w:rsidRDefault="0026218A" w:rsidP="0026218A">
      <w:pPr>
        <w:pStyle w:val="ListParagraph"/>
        <w:numPr>
          <w:ilvl w:val="0"/>
          <w:numId w:val="23"/>
        </w:numPr>
        <w:tabs>
          <w:tab w:val="left" w:pos="630"/>
        </w:tabs>
        <w:rPr>
          <w:rFonts w:ascii="Verdana" w:hAnsi="Verdana"/>
          <w:sz w:val="22"/>
          <w:szCs w:val="22"/>
        </w:rPr>
      </w:pPr>
      <w:r>
        <w:rPr>
          <w:rFonts w:ascii="Verdana" w:hAnsi="Verdana"/>
          <w:sz w:val="22"/>
          <w:szCs w:val="22"/>
        </w:rPr>
        <w:t>an appropriate tumour sample</w:t>
      </w:r>
    </w:p>
    <w:p w14:paraId="52E0CD43" w14:textId="77777777" w:rsidR="0026218A" w:rsidRDefault="0026218A" w:rsidP="0026218A">
      <w:pPr>
        <w:pStyle w:val="ListParagraph"/>
        <w:numPr>
          <w:ilvl w:val="0"/>
          <w:numId w:val="23"/>
        </w:numPr>
        <w:tabs>
          <w:tab w:val="left" w:pos="630"/>
        </w:tabs>
        <w:rPr>
          <w:rFonts w:ascii="Verdana" w:hAnsi="Verdana"/>
          <w:sz w:val="22"/>
          <w:szCs w:val="22"/>
        </w:rPr>
      </w:pPr>
      <w:r>
        <w:rPr>
          <w:rFonts w:ascii="Verdana" w:hAnsi="Verdana"/>
          <w:sz w:val="22"/>
          <w:szCs w:val="22"/>
        </w:rPr>
        <w:t xml:space="preserve">a </w:t>
      </w:r>
      <w:r w:rsidRPr="00EF7F8F">
        <w:rPr>
          <w:rFonts w:ascii="Verdana" w:hAnsi="Verdana"/>
          <w:sz w:val="22"/>
          <w:szCs w:val="22"/>
        </w:rPr>
        <w:t>germline (constitutional) sample</w:t>
      </w:r>
    </w:p>
    <w:p w14:paraId="152F6859" w14:textId="77777777" w:rsidR="0026218A" w:rsidRDefault="0026218A" w:rsidP="0026218A">
      <w:pPr>
        <w:pStyle w:val="ListParagraph"/>
        <w:numPr>
          <w:ilvl w:val="0"/>
          <w:numId w:val="23"/>
        </w:numPr>
        <w:tabs>
          <w:tab w:val="left" w:pos="630"/>
        </w:tabs>
        <w:rPr>
          <w:rFonts w:ascii="Verdana" w:hAnsi="Verdana"/>
          <w:sz w:val="22"/>
          <w:szCs w:val="22"/>
        </w:rPr>
      </w:pPr>
      <w:r>
        <w:rPr>
          <w:rFonts w:ascii="Verdana" w:hAnsi="Verdana"/>
          <w:sz w:val="22"/>
          <w:szCs w:val="22"/>
        </w:rPr>
        <w:t xml:space="preserve">a signed </w:t>
      </w:r>
      <w:r w:rsidRPr="00EF7F8F">
        <w:rPr>
          <w:rFonts w:ascii="Verdana" w:hAnsi="Verdana"/>
          <w:sz w:val="22"/>
          <w:szCs w:val="22"/>
        </w:rPr>
        <w:t xml:space="preserve">record of a patient choice (consent) discussion </w:t>
      </w:r>
    </w:p>
    <w:p w14:paraId="56C2CC1D" w14:textId="77777777" w:rsidR="0026218A" w:rsidRPr="00EF7F8F" w:rsidRDefault="0026218A" w:rsidP="0026218A">
      <w:pPr>
        <w:tabs>
          <w:tab w:val="left" w:pos="630"/>
        </w:tabs>
        <w:rPr>
          <w:rFonts w:ascii="Verdana" w:hAnsi="Verdana"/>
          <w:sz w:val="22"/>
          <w:szCs w:val="22"/>
        </w:rPr>
      </w:pPr>
      <w:r w:rsidRPr="00EF7F8F">
        <w:rPr>
          <w:rFonts w:ascii="Verdana" w:hAnsi="Verdana"/>
          <w:sz w:val="22"/>
          <w:szCs w:val="22"/>
        </w:rPr>
        <w:t xml:space="preserve">Sample collection from most sites and integration of reports with other modalities of diagnostic testing will be coordinated through existing SIHMDS (Single Integrated Haematological Malignancy Diagnostic Service) networks in Cambridge, Leicester and Nottingham. </w:t>
      </w:r>
    </w:p>
    <w:p w14:paraId="7CFD0BF2" w14:textId="77777777" w:rsidR="005F4109" w:rsidRPr="002722D1" w:rsidRDefault="005F4109" w:rsidP="005F4109">
      <w:pPr>
        <w:pStyle w:val="NoSpacing"/>
        <w:tabs>
          <w:tab w:val="left" w:pos="0"/>
        </w:tabs>
        <w:ind w:left="720"/>
        <w:jc w:val="both"/>
        <w:rPr>
          <w:rFonts w:ascii="Verdana" w:hAnsi="Verdana" w:cstheme="minorHAnsi"/>
          <w:sz w:val="22"/>
          <w:szCs w:val="22"/>
        </w:rPr>
      </w:pPr>
    </w:p>
    <w:p w14:paraId="04B9DB20" w14:textId="77777777" w:rsidR="005F4109" w:rsidRPr="00800DC0" w:rsidRDefault="005F4109" w:rsidP="00800DC0">
      <w:pPr>
        <w:pStyle w:val="Heading1"/>
      </w:pPr>
      <w:bookmarkStart w:id="2" w:name="_Toc59625901"/>
      <w:r w:rsidRPr="00800DC0">
        <w:t>2.0 Scope</w:t>
      </w:r>
      <w:bookmarkEnd w:id="2"/>
    </w:p>
    <w:p w14:paraId="696BF1A6" w14:textId="77777777" w:rsidR="0026218A" w:rsidRDefault="0026218A" w:rsidP="0026218A">
      <w:pPr>
        <w:tabs>
          <w:tab w:val="left" w:pos="630"/>
        </w:tabs>
        <w:rPr>
          <w:rFonts w:ascii="Verdana" w:hAnsi="Verdana"/>
          <w:sz w:val="22"/>
          <w:szCs w:val="22"/>
        </w:rPr>
      </w:pPr>
    </w:p>
    <w:p w14:paraId="62DA3D3B" w14:textId="77777777" w:rsidR="0026218A" w:rsidRPr="00C07D9B" w:rsidRDefault="0026218A" w:rsidP="0026218A">
      <w:pPr>
        <w:tabs>
          <w:tab w:val="left" w:pos="630"/>
        </w:tabs>
        <w:rPr>
          <w:rFonts w:ascii="Verdana" w:hAnsi="Verdana"/>
          <w:sz w:val="22"/>
          <w:szCs w:val="22"/>
        </w:rPr>
      </w:pPr>
      <w:r>
        <w:rPr>
          <w:rFonts w:ascii="Verdana" w:hAnsi="Verdana"/>
          <w:sz w:val="22"/>
          <w:szCs w:val="22"/>
        </w:rPr>
        <w:t>This document provides information for clinical teams regarding the eligibility criteria, requesting procedures, sample collection and transportation, discussion and recording of patient choice and receipt of reports for acute leukaemia WGS in the EMEE Genomic Laboratory Hub (GLH).</w:t>
      </w:r>
    </w:p>
    <w:p w14:paraId="12C02AD8" w14:textId="77777777" w:rsidR="005F4109" w:rsidRPr="002722D1" w:rsidRDefault="005F4109" w:rsidP="005F4109">
      <w:pPr>
        <w:pStyle w:val="NoSpacing"/>
        <w:tabs>
          <w:tab w:val="left" w:pos="0"/>
        </w:tabs>
        <w:ind w:left="720"/>
        <w:jc w:val="both"/>
        <w:rPr>
          <w:rFonts w:ascii="Verdana" w:hAnsi="Verdana" w:cstheme="minorHAnsi"/>
          <w:sz w:val="22"/>
          <w:szCs w:val="22"/>
        </w:rPr>
      </w:pPr>
    </w:p>
    <w:p w14:paraId="09D4539B" w14:textId="77777777" w:rsidR="005F4109" w:rsidRPr="002722D1" w:rsidRDefault="005F4109" w:rsidP="00800DC0">
      <w:pPr>
        <w:pStyle w:val="Heading1"/>
      </w:pPr>
      <w:bookmarkStart w:id="3" w:name="_Toc59625902"/>
      <w:r w:rsidRPr="002722D1">
        <w:t>3.0 Responsibilities</w:t>
      </w:r>
      <w:bookmarkEnd w:id="3"/>
    </w:p>
    <w:p w14:paraId="3390071D" w14:textId="77777777" w:rsidR="005F4109" w:rsidRDefault="005F4109" w:rsidP="005F4109">
      <w:pPr>
        <w:pStyle w:val="NoSpacing"/>
        <w:tabs>
          <w:tab w:val="left" w:pos="0"/>
        </w:tabs>
        <w:jc w:val="both"/>
        <w:rPr>
          <w:rFonts w:ascii="Verdana" w:hAnsi="Verdana" w:cstheme="minorHAnsi"/>
          <w:sz w:val="22"/>
          <w:szCs w:val="22"/>
        </w:rPr>
      </w:pPr>
    </w:p>
    <w:p w14:paraId="59B3A9B8" w14:textId="25FD06D8" w:rsidR="0026218A" w:rsidRPr="0026218A" w:rsidRDefault="0026218A" w:rsidP="0026218A">
      <w:pPr>
        <w:tabs>
          <w:tab w:val="left" w:pos="630"/>
        </w:tabs>
        <w:rPr>
          <w:rFonts w:ascii="Verdana" w:hAnsi="Verdana"/>
          <w:sz w:val="22"/>
          <w:szCs w:val="22"/>
        </w:rPr>
      </w:pPr>
      <w:r>
        <w:rPr>
          <w:rFonts w:ascii="Verdana" w:hAnsi="Verdana"/>
          <w:sz w:val="22"/>
          <w:szCs w:val="22"/>
        </w:rPr>
        <w:t xml:space="preserve">SIHMDS haematopathologists (or clinical haematologists where an SIHMDS is not used) are responsible for requesting WGS for eligible patients and identifying appropriate tumour samples. Clinical haematologists are responsible for ensuring that patients who are eligible for WGS are invited to undergo collection of a germline sample and a documented discussion (consent) about genomic testing. </w:t>
      </w:r>
    </w:p>
    <w:p w14:paraId="7138518B" w14:textId="77777777" w:rsidR="005F4109" w:rsidRPr="002722D1" w:rsidRDefault="005F4109" w:rsidP="005F4109">
      <w:pPr>
        <w:pStyle w:val="NoSpacing"/>
        <w:tabs>
          <w:tab w:val="left" w:pos="0"/>
        </w:tabs>
        <w:jc w:val="both"/>
        <w:rPr>
          <w:rFonts w:ascii="Verdana" w:hAnsi="Verdana" w:cstheme="minorHAnsi"/>
          <w:sz w:val="22"/>
          <w:szCs w:val="22"/>
        </w:rPr>
      </w:pPr>
    </w:p>
    <w:p w14:paraId="376DB236" w14:textId="77777777" w:rsidR="005F4109" w:rsidRPr="002722D1" w:rsidRDefault="005F4109" w:rsidP="00800DC0">
      <w:pPr>
        <w:pStyle w:val="Heading1"/>
      </w:pPr>
      <w:bookmarkStart w:id="4" w:name="_Toc59625903"/>
      <w:r w:rsidRPr="002722D1">
        <w:t>4.0 Procedure</w:t>
      </w:r>
      <w:bookmarkEnd w:id="4"/>
    </w:p>
    <w:p w14:paraId="668F91A2" w14:textId="77777777" w:rsidR="005F4109" w:rsidRDefault="005F4109" w:rsidP="005F4109">
      <w:pPr>
        <w:pStyle w:val="NoSpacing"/>
        <w:tabs>
          <w:tab w:val="left" w:pos="0"/>
        </w:tabs>
        <w:jc w:val="both"/>
        <w:rPr>
          <w:rFonts w:ascii="Verdana" w:hAnsi="Verdana" w:cstheme="minorHAnsi"/>
          <w:sz w:val="22"/>
          <w:szCs w:val="22"/>
        </w:rPr>
      </w:pPr>
    </w:p>
    <w:p w14:paraId="3DFE537B" w14:textId="77777777" w:rsidR="0026218A" w:rsidRDefault="0026218A" w:rsidP="0026218A">
      <w:pPr>
        <w:tabs>
          <w:tab w:val="left" w:pos="630"/>
        </w:tabs>
        <w:rPr>
          <w:rFonts w:ascii="Verdana" w:hAnsi="Verdana"/>
          <w:sz w:val="22"/>
          <w:szCs w:val="22"/>
        </w:rPr>
      </w:pPr>
      <w:r>
        <w:rPr>
          <w:rFonts w:ascii="Verdana" w:hAnsi="Verdana"/>
          <w:sz w:val="22"/>
          <w:szCs w:val="22"/>
        </w:rPr>
        <w:t>The pathway is summarised in Figure 1.</w:t>
      </w:r>
    </w:p>
    <w:p w14:paraId="285E595A" w14:textId="77777777" w:rsidR="0026218A" w:rsidRDefault="0026218A" w:rsidP="0026218A">
      <w:pPr>
        <w:tabs>
          <w:tab w:val="left" w:pos="630"/>
        </w:tabs>
        <w:rPr>
          <w:rFonts w:ascii="Verdana" w:hAnsi="Verdana"/>
          <w:b/>
          <w:sz w:val="22"/>
          <w:szCs w:val="22"/>
        </w:rPr>
      </w:pPr>
    </w:p>
    <w:p w14:paraId="46968EB0" w14:textId="77777777" w:rsidR="0026218A" w:rsidRDefault="0026218A" w:rsidP="0026218A">
      <w:pPr>
        <w:pStyle w:val="Heading1"/>
      </w:pPr>
      <w:bookmarkStart w:id="5" w:name="_Toc59625904"/>
      <w:r>
        <w:t>4.1 Eligibility</w:t>
      </w:r>
      <w:bookmarkEnd w:id="5"/>
    </w:p>
    <w:p w14:paraId="18ECCA3C" w14:textId="77777777" w:rsidR="0026218A" w:rsidRDefault="0026218A" w:rsidP="0026218A">
      <w:pPr>
        <w:tabs>
          <w:tab w:val="left" w:pos="630"/>
        </w:tabs>
        <w:rPr>
          <w:rFonts w:ascii="Verdana" w:hAnsi="Verdana"/>
          <w:b/>
          <w:sz w:val="22"/>
          <w:szCs w:val="22"/>
        </w:rPr>
      </w:pPr>
    </w:p>
    <w:p w14:paraId="4F172089" w14:textId="77777777" w:rsidR="0026218A" w:rsidRDefault="0026218A" w:rsidP="0026218A">
      <w:pPr>
        <w:tabs>
          <w:tab w:val="left" w:pos="630"/>
        </w:tabs>
        <w:rPr>
          <w:rFonts w:ascii="Verdana" w:hAnsi="Verdana"/>
          <w:sz w:val="22"/>
          <w:szCs w:val="22"/>
        </w:rPr>
      </w:pPr>
      <w:r>
        <w:rPr>
          <w:rFonts w:ascii="Verdana" w:hAnsi="Verdana"/>
          <w:sz w:val="22"/>
          <w:szCs w:val="22"/>
        </w:rPr>
        <w:t>The following patients</w:t>
      </w:r>
      <w:r w:rsidRPr="0037097F">
        <w:rPr>
          <w:rFonts w:ascii="Verdana" w:hAnsi="Verdana"/>
          <w:sz w:val="22"/>
          <w:szCs w:val="22"/>
        </w:rPr>
        <w:t xml:space="preserve"> are eligible for WGS:</w:t>
      </w:r>
    </w:p>
    <w:p w14:paraId="4547FF36" w14:textId="77777777" w:rsidR="0026218A" w:rsidRDefault="0026218A" w:rsidP="0026218A">
      <w:pPr>
        <w:pStyle w:val="ListParagraph"/>
        <w:numPr>
          <w:ilvl w:val="0"/>
          <w:numId w:val="25"/>
        </w:numPr>
        <w:tabs>
          <w:tab w:val="left" w:pos="630"/>
        </w:tabs>
        <w:rPr>
          <w:rFonts w:ascii="Verdana" w:hAnsi="Verdana"/>
          <w:sz w:val="22"/>
          <w:szCs w:val="22"/>
        </w:rPr>
      </w:pPr>
      <w:r w:rsidRPr="00F300D2">
        <w:rPr>
          <w:rFonts w:ascii="Verdana" w:hAnsi="Verdana"/>
          <w:sz w:val="22"/>
          <w:szCs w:val="22"/>
        </w:rPr>
        <w:t>All pati</w:t>
      </w:r>
      <w:r>
        <w:rPr>
          <w:rFonts w:ascii="Verdana" w:hAnsi="Verdana"/>
          <w:sz w:val="22"/>
          <w:szCs w:val="22"/>
        </w:rPr>
        <w:t>ents (adult &amp; paediatric) with a</w:t>
      </w:r>
      <w:r w:rsidRPr="00F300D2">
        <w:rPr>
          <w:rFonts w:ascii="Verdana" w:hAnsi="Verdana"/>
          <w:sz w:val="22"/>
          <w:szCs w:val="22"/>
        </w:rPr>
        <w:t>cute le</w:t>
      </w:r>
      <w:r>
        <w:rPr>
          <w:rFonts w:ascii="Verdana" w:hAnsi="Verdana"/>
          <w:sz w:val="22"/>
          <w:szCs w:val="22"/>
        </w:rPr>
        <w:t>ukaemia (includes acute myeloid leukaemia, acute lymphoblastic l</w:t>
      </w:r>
      <w:r w:rsidRPr="00F300D2">
        <w:rPr>
          <w:rFonts w:ascii="Verdana" w:hAnsi="Verdana"/>
          <w:sz w:val="22"/>
          <w:szCs w:val="22"/>
        </w:rPr>
        <w:t>eukaemia a</w:t>
      </w:r>
      <w:r>
        <w:rPr>
          <w:rFonts w:ascii="Verdana" w:hAnsi="Verdana"/>
          <w:sz w:val="22"/>
          <w:szCs w:val="22"/>
        </w:rPr>
        <w:t xml:space="preserve">nd acute leukaemia of ambiguous </w:t>
      </w:r>
      <w:r w:rsidRPr="00F300D2">
        <w:rPr>
          <w:rFonts w:ascii="Verdana" w:hAnsi="Verdana"/>
          <w:sz w:val="22"/>
          <w:szCs w:val="22"/>
        </w:rPr>
        <w:t xml:space="preserve">lineage) at initial diagnosis and/or on relapse. </w:t>
      </w:r>
    </w:p>
    <w:p w14:paraId="7616937B" w14:textId="77777777" w:rsidR="0026218A" w:rsidRDefault="0026218A" w:rsidP="0026218A">
      <w:pPr>
        <w:pStyle w:val="ListParagraph"/>
        <w:tabs>
          <w:tab w:val="left" w:pos="630"/>
        </w:tabs>
        <w:rPr>
          <w:rFonts w:ascii="Verdana" w:hAnsi="Verdana"/>
          <w:sz w:val="22"/>
          <w:szCs w:val="22"/>
        </w:rPr>
      </w:pPr>
    </w:p>
    <w:p w14:paraId="5B24BFDB" w14:textId="77777777" w:rsidR="0026218A" w:rsidRDefault="0026218A" w:rsidP="0026218A">
      <w:pPr>
        <w:pStyle w:val="ListParagraph"/>
        <w:numPr>
          <w:ilvl w:val="0"/>
          <w:numId w:val="25"/>
        </w:numPr>
        <w:tabs>
          <w:tab w:val="left" w:pos="630"/>
        </w:tabs>
        <w:rPr>
          <w:rFonts w:ascii="Verdana" w:hAnsi="Verdana"/>
          <w:sz w:val="22"/>
          <w:szCs w:val="22"/>
        </w:rPr>
      </w:pPr>
      <w:r w:rsidRPr="00F300D2">
        <w:rPr>
          <w:rFonts w:ascii="Verdana" w:hAnsi="Verdana"/>
          <w:sz w:val="22"/>
          <w:szCs w:val="22"/>
        </w:rPr>
        <w:t>Paediatric patients (</w:t>
      </w:r>
      <w:r>
        <w:rPr>
          <w:rFonts w:ascii="Verdana" w:hAnsi="Verdana"/>
          <w:sz w:val="22"/>
          <w:szCs w:val="22"/>
        </w:rPr>
        <w:t>aged 19 and under) with any other type of haematological m</w:t>
      </w:r>
      <w:r w:rsidRPr="00F300D2">
        <w:rPr>
          <w:rFonts w:ascii="Verdana" w:hAnsi="Verdana"/>
          <w:sz w:val="22"/>
          <w:szCs w:val="22"/>
        </w:rPr>
        <w:t>alignancy at diagnosis and relapse.</w:t>
      </w:r>
    </w:p>
    <w:p w14:paraId="2BE11D3C" w14:textId="77777777" w:rsidR="0026218A" w:rsidRPr="00F300D2" w:rsidRDefault="0026218A" w:rsidP="0026218A">
      <w:pPr>
        <w:pStyle w:val="ListParagraph"/>
        <w:tabs>
          <w:tab w:val="left" w:pos="630"/>
        </w:tabs>
        <w:rPr>
          <w:rFonts w:ascii="Verdana" w:hAnsi="Verdana"/>
          <w:sz w:val="22"/>
          <w:szCs w:val="22"/>
        </w:rPr>
      </w:pPr>
    </w:p>
    <w:p w14:paraId="762B571E" w14:textId="77777777" w:rsidR="0026218A" w:rsidRDefault="0026218A" w:rsidP="0026218A">
      <w:pPr>
        <w:tabs>
          <w:tab w:val="left" w:pos="630"/>
        </w:tabs>
        <w:rPr>
          <w:rFonts w:ascii="Verdana" w:hAnsi="Verdana"/>
          <w:sz w:val="22"/>
          <w:szCs w:val="22"/>
        </w:rPr>
      </w:pPr>
      <w:r w:rsidRPr="0037097F">
        <w:rPr>
          <w:rFonts w:ascii="Verdana" w:hAnsi="Verdana"/>
          <w:sz w:val="22"/>
          <w:szCs w:val="22"/>
        </w:rPr>
        <w:t xml:space="preserve">It is recognised that there will be instances when it may not be appropriate to submit samples for WGS on otherwise eligible patients. This could include patients who die soon after diagnosis or patients whose management is purely palliative and will therefore not be able to benefit from testing. Given WGS should be considered a part of the normal diagnostic test repertoire it is recommended that Clinicians base decisions on whether to submit samples for a specific patient on similar criteria to those used for submission of other diagnostic tests. If a patient </w:t>
      </w:r>
      <w:r>
        <w:rPr>
          <w:rFonts w:ascii="Verdana" w:hAnsi="Verdana"/>
          <w:sz w:val="22"/>
          <w:szCs w:val="22"/>
        </w:rPr>
        <w:t xml:space="preserve">and/or parent/guardian </w:t>
      </w:r>
      <w:r w:rsidRPr="0037097F">
        <w:rPr>
          <w:rFonts w:ascii="Verdana" w:hAnsi="Verdana"/>
          <w:sz w:val="22"/>
          <w:szCs w:val="22"/>
        </w:rPr>
        <w:t xml:space="preserve">has </w:t>
      </w:r>
      <w:r>
        <w:rPr>
          <w:rFonts w:ascii="Verdana" w:hAnsi="Verdana"/>
          <w:sz w:val="22"/>
          <w:szCs w:val="22"/>
        </w:rPr>
        <w:t>had a discussion and given consent</w:t>
      </w:r>
      <w:r w:rsidRPr="0037097F">
        <w:rPr>
          <w:rFonts w:ascii="Verdana" w:hAnsi="Verdana"/>
          <w:sz w:val="22"/>
          <w:szCs w:val="22"/>
        </w:rPr>
        <w:t xml:space="preserve"> for WGS then samples should be submitted whenever possible regardless of plans for ongoing care.</w:t>
      </w:r>
    </w:p>
    <w:p w14:paraId="77BA0F4F" w14:textId="77777777" w:rsidR="0026218A" w:rsidRDefault="0026218A" w:rsidP="0026218A">
      <w:pPr>
        <w:tabs>
          <w:tab w:val="left" w:pos="630"/>
        </w:tabs>
        <w:rPr>
          <w:rFonts w:ascii="Verdana" w:hAnsi="Verdana"/>
          <w:sz w:val="22"/>
          <w:szCs w:val="22"/>
        </w:rPr>
      </w:pPr>
    </w:p>
    <w:p w14:paraId="37EA3BD1" w14:textId="77777777" w:rsidR="0026218A" w:rsidRDefault="0026218A" w:rsidP="0026218A">
      <w:pPr>
        <w:tabs>
          <w:tab w:val="left" w:pos="630"/>
        </w:tabs>
        <w:rPr>
          <w:rFonts w:ascii="Verdana" w:hAnsi="Verdana"/>
          <w:sz w:val="22"/>
          <w:szCs w:val="22"/>
        </w:rPr>
      </w:pPr>
    </w:p>
    <w:p w14:paraId="30058CFB" w14:textId="77777777" w:rsidR="0026218A" w:rsidRDefault="0026218A" w:rsidP="0026218A">
      <w:pPr>
        <w:pStyle w:val="Heading1"/>
      </w:pPr>
      <w:bookmarkStart w:id="6" w:name="_Toc59625905"/>
      <w:r w:rsidRPr="0033115F">
        <w:t>4.2</w:t>
      </w:r>
      <w:r w:rsidRPr="0033115F">
        <w:tab/>
      </w:r>
      <w:r>
        <w:t xml:space="preserve">Identification of </w:t>
      </w:r>
      <w:r w:rsidRPr="0033115F">
        <w:t>eligible patient</w:t>
      </w:r>
      <w:r>
        <w:t>s</w:t>
      </w:r>
      <w:r w:rsidRPr="0033115F">
        <w:t xml:space="preserve"> and submission of tumour sample</w:t>
      </w:r>
      <w:r>
        <w:t>s</w:t>
      </w:r>
      <w:bookmarkEnd w:id="6"/>
    </w:p>
    <w:p w14:paraId="5FFE3AAB" w14:textId="77777777" w:rsidR="0026218A" w:rsidRDefault="0026218A" w:rsidP="0026218A">
      <w:pPr>
        <w:tabs>
          <w:tab w:val="left" w:pos="630"/>
        </w:tabs>
        <w:rPr>
          <w:rFonts w:ascii="Verdana" w:hAnsi="Verdana"/>
          <w:sz w:val="22"/>
          <w:szCs w:val="22"/>
        </w:rPr>
      </w:pPr>
    </w:p>
    <w:p w14:paraId="371DA8E2" w14:textId="77777777" w:rsidR="0026218A" w:rsidRDefault="0026218A" w:rsidP="0026218A">
      <w:pPr>
        <w:tabs>
          <w:tab w:val="left" w:pos="630"/>
        </w:tabs>
        <w:rPr>
          <w:rFonts w:ascii="Verdana" w:hAnsi="Verdana"/>
          <w:sz w:val="22"/>
          <w:szCs w:val="22"/>
        </w:rPr>
      </w:pPr>
    </w:p>
    <w:p w14:paraId="07E4BC1F" w14:textId="77777777" w:rsidR="0026218A" w:rsidRPr="0037097F" w:rsidRDefault="0026218A" w:rsidP="0026218A">
      <w:pPr>
        <w:tabs>
          <w:tab w:val="left" w:pos="630"/>
        </w:tabs>
        <w:rPr>
          <w:rFonts w:ascii="Verdana" w:hAnsi="Verdana"/>
          <w:b/>
          <w:sz w:val="22"/>
          <w:szCs w:val="22"/>
        </w:rPr>
      </w:pPr>
      <w:r w:rsidRPr="0037097F">
        <w:rPr>
          <w:rFonts w:ascii="Verdana" w:hAnsi="Verdana"/>
          <w:b/>
          <w:sz w:val="22"/>
          <w:szCs w:val="22"/>
        </w:rPr>
        <w:t>4.2</w:t>
      </w:r>
      <w:r>
        <w:rPr>
          <w:rFonts w:ascii="Verdana" w:hAnsi="Verdana"/>
          <w:b/>
          <w:sz w:val="22"/>
          <w:szCs w:val="22"/>
        </w:rPr>
        <w:t>.1</w:t>
      </w:r>
      <w:r w:rsidRPr="0037097F">
        <w:rPr>
          <w:rFonts w:ascii="Verdana" w:hAnsi="Verdana"/>
          <w:b/>
          <w:sz w:val="22"/>
          <w:szCs w:val="22"/>
        </w:rPr>
        <w:t xml:space="preserve"> </w:t>
      </w:r>
      <w:r>
        <w:rPr>
          <w:rFonts w:ascii="Verdana" w:hAnsi="Verdana"/>
          <w:b/>
          <w:sz w:val="22"/>
          <w:szCs w:val="22"/>
        </w:rPr>
        <w:t>Submission through an SIHMDS</w:t>
      </w:r>
    </w:p>
    <w:p w14:paraId="6D11B8D1" w14:textId="77777777" w:rsidR="0026218A" w:rsidRDefault="0026218A" w:rsidP="0026218A">
      <w:pPr>
        <w:tabs>
          <w:tab w:val="left" w:pos="630"/>
        </w:tabs>
        <w:rPr>
          <w:rFonts w:ascii="Verdana" w:hAnsi="Verdana"/>
          <w:b/>
          <w:sz w:val="22"/>
          <w:szCs w:val="22"/>
        </w:rPr>
      </w:pPr>
    </w:p>
    <w:p w14:paraId="5BEC15AC" w14:textId="77777777" w:rsidR="0026218A" w:rsidRDefault="0026218A" w:rsidP="0026218A">
      <w:pPr>
        <w:tabs>
          <w:tab w:val="left" w:pos="630"/>
        </w:tabs>
        <w:rPr>
          <w:rFonts w:ascii="Verdana" w:hAnsi="Verdana"/>
          <w:sz w:val="22"/>
          <w:szCs w:val="22"/>
        </w:rPr>
      </w:pPr>
      <w:r>
        <w:rPr>
          <w:rFonts w:ascii="Verdana" w:hAnsi="Verdana"/>
          <w:sz w:val="22"/>
          <w:szCs w:val="22"/>
        </w:rPr>
        <w:t>In most cases an eligible patient will be identified by a reporting haematopathologist at an SIHMDS service. The haematopathologist will identify that a patient meets the eligibility criteria and confirm that an appropriate tumour sample is available (criteria also listed in 4.2.2). An aliquot of this tumour sample will be submitted for DNA extraction at the WGS DNA extraction laboratory in Cambridge with an appropriate WGS request from the responsible haematopathologist, including clinical details and names of the original referring clinician and the SIHMDS. Receipt of the tumour DNA sample at the WGS DNA extraction laboratory will prompt a message to be send to the clinical team requesting a germline sample and a signed record of patient choice discussion to be sent to the laboratory.</w:t>
      </w:r>
    </w:p>
    <w:p w14:paraId="0B08491F" w14:textId="77777777" w:rsidR="0026218A" w:rsidRDefault="0026218A" w:rsidP="0026218A">
      <w:pPr>
        <w:tabs>
          <w:tab w:val="left" w:pos="630"/>
        </w:tabs>
        <w:rPr>
          <w:rFonts w:ascii="Verdana" w:hAnsi="Verdana"/>
          <w:sz w:val="22"/>
          <w:szCs w:val="22"/>
        </w:rPr>
      </w:pPr>
    </w:p>
    <w:p w14:paraId="57E9D160" w14:textId="77777777" w:rsidR="0026218A" w:rsidRDefault="0026218A" w:rsidP="0026218A">
      <w:pPr>
        <w:tabs>
          <w:tab w:val="left" w:pos="630"/>
        </w:tabs>
        <w:rPr>
          <w:rFonts w:ascii="Verdana" w:hAnsi="Verdana"/>
          <w:sz w:val="22"/>
          <w:szCs w:val="22"/>
        </w:rPr>
      </w:pPr>
    </w:p>
    <w:p w14:paraId="401222AC" w14:textId="77777777" w:rsidR="0026218A" w:rsidRPr="00DF5008" w:rsidRDefault="0026218A" w:rsidP="0026218A">
      <w:pPr>
        <w:tabs>
          <w:tab w:val="left" w:pos="630"/>
        </w:tabs>
        <w:rPr>
          <w:rFonts w:ascii="Verdana" w:hAnsi="Verdana"/>
          <w:b/>
          <w:sz w:val="22"/>
          <w:szCs w:val="22"/>
        </w:rPr>
      </w:pPr>
      <w:r>
        <w:rPr>
          <w:rFonts w:ascii="Verdana" w:hAnsi="Verdana"/>
          <w:b/>
          <w:sz w:val="22"/>
          <w:szCs w:val="22"/>
        </w:rPr>
        <w:t>4.2</w:t>
      </w:r>
      <w:r w:rsidRPr="00DF5008">
        <w:rPr>
          <w:rFonts w:ascii="Verdana" w:hAnsi="Verdana"/>
          <w:b/>
          <w:sz w:val="22"/>
          <w:szCs w:val="22"/>
        </w:rPr>
        <w:t>.</w:t>
      </w:r>
      <w:r>
        <w:rPr>
          <w:rFonts w:ascii="Verdana" w:hAnsi="Verdana"/>
          <w:b/>
          <w:sz w:val="22"/>
          <w:szCs w:val="22"/>
        </w:rPr>
        <w:t>2</w:t>
      </w:r>
      <w:r w:rsidRPr="00DF5008">
        <w:rPr>
          <w:rFonts w:ascii="Verdana" w:hAnsi="Verdana"/>
          <w:b/>
          <w:sz w:val="22"/>
          <w:szCs w:val="22"/>
        </w:rPr>
        <w:t xml:space="preserve"> </w:t>
      </w:r>
      <w:r>
        <w:rPr>
          <w:rFonts w:ascii="Verdana" w:hAnsi="Verdana"/>
          <w:b/>
          <w:sz w:val="22"/>
          <w:szCs w:val="22"/>
        </w:rPr>
        <w:t>Submission w</w:t>
      </w:r>
      <w:r w:rsidRPr="00DF5008">
        <w:rPr>
          <w:rFonts w:ascii="Verdana" w:hAnsi="Verdana"/>
          <w:b/>
          <w:sz w:val="22"/>
          <w:szCs w:val="22"/>
        </w:rPr>
        <w:t>hen an SIHMDS is not used</w:t>
      </w:r>
    </w:p>
    <w:p w14:paraId="12C8EF50" w14:textId="77777777" w:rsidR="0026218A" w:rsidRDefault="0026218A" w:rsidP="0026218A">
      <w:pPr>
        <w:tabs>
          <w:tab w:val="left" w:pos="630"/>
        </w:tabs>
        <w:rPr>
          <w:rFonts w:ascii="Verdana" w:hAnsi="Verdana"/>
          <w:sz w:val="22"/>
          <w:szCs w:val="22"/>
        </w:rPr>
      </w:pPr>
    </w:p>
    <w:p w14:paraId="419186D6" w14:textId="77777777" w:rsidR="0026218A" w:rsidRDefault="0026218A" w:rsidP="0026218A">
      <w:pPr>
        <w:tabs>
          <w:tab w:val="left" w:pos="630"/>
        </w:tabs>
        <w:rPr>
          <w:rFonts w:ascii="Verdana" w:hAnsi="Verdana"/>
          <w:sz w:val="22"/>
          <w:szCs w:val="22"/>
        </w:rPr>
      </w:pPr>
      <w:r>
        <w:rPr>
          <w:rFonts w:ascii="Verdana" w:hAnsi="Verdana"/>
          <w:sz w:val="22"/>
          <w:szCs w:val="22"/>
        </w:rPr>
        <w:t xml:space="preserve">If a hospital does not routinely use an SIHMDS service for diagnosis of acute leukaemia then it will be the responsibility of the treating clinician to identify patients with acute leukaemia who are eligible for WGS. </w:t>
      </w:r>
      <w:r w:rsidRPr="0092319B">
        <w:rPr>
          <w:rFonts w:ascii="Verdana" w:hAnsi="Verdana"/>
          <w:i/>
          <w:sz w:val="22"/>
          <w:szCs w:val="22"/>
        </w:rPr>
        <w:t xml:space="preserve">The samples and documentation detailed below should </w:t>
      </w:r>
      <w:r>
        <w:rPr>
          <w:rFonts w:ascii="Verdana" w:hAnsi="Verdana"/>
          <w:i/>
          <w:sz w:val="22"/>
          <w:szCs w:val="22"/>
        </w:rPr>
        <w:t xml:space="preserve">then </w:t>
      </w:r>
      <w:r w:rsidRPr="0092319B">
        <w:rPr>
          <w:rFonts w:ascii="Verdana" w:hAnsi="Verdana"/>
          <w:i/>
          <w:sz w:val="22"/>
          <w:szCs w:val="22"/>
        </w:rPr>
        <w:t>be submitted directly to the WGS DNA extraction laboratory</w:t>
      </w:r>
      <w:r>
        <w:rPr>
          <w:rFonts w:ascii="Verdana" w:hAnsi="Verdana"/>
          <w:i/>
          <w:sz w:val="22"/>
          <w:szCs w:val="22"/>
        </w:rPr>
        <w:t xml:space="preserve"> and will be accepted for WGS based on the assessment of the referring consultant haematologist</w:t>
      </w:r>
      <w:r w:rsidRPr="0092319B">
        <w:rPr>
          <w:rFonts w:ascii="Verdana" w:hAnsi="Verdana"/>
          <w:i/>
          <w:sz w:val="22"/>
          <w:szCs w:val="22"/>
        </w:rPr>
        <w:t>.</w:t>
      </w:r>
      <w:r>
        <w:rPr>
          <w:rFonts w:ascii="Verdana" w:hAnsi="Verdana"/>
          <w:sz w:val="22"/>
          <w:szCs w:val="22"/>
        </w:rPr>
        <w:t xml:space="preserve"> </w:t>
      </w:r>
    </w:p>
    <w:p w14:paraId="06EE911E" w14:textId="77777777" w:rsidR="0026218A" w:rsidRDefault="0026218A" w:rsidP="0026218A">
      <w:pPr>
        <w:tabs>
          <w:tab w:val="left" w:pos="630"/>
        </w:tabs>
        <w:rPr>
          <w:rFonts w:ascii="Verdana" w:hAnsi="Verdana"/>
          <w:sz w:val="22"/>
          <w:szCs w:val="22"/>
        </w:rPr>
      </w:pPr>
    </w:p>
    <w:p w14:paraId="0941E96B" w14:textId="77777777" w:rsidR="0026218A" w:rsidRDefault="0026218A" w:rsidP="0026218A">
      <w:pPr>
        <w:tabs>
          <w:tab w:val="left" w:pos="630"/>
        </w:tabs>
        <w:rPr>
          <w:rFonts w:ascii="Verdana" w:hAnsi="Verdana"/>
          <w:sz w:val="22"/>
          <w:szCs w:val="22"/>
        </w:rPr>
      </w:pPr>
      <w:r>
        <w:rPr>
          <w:rFonts w:ascii="Verdana" w:hAnsi="Verdana"/>
          <w:sz w:val="22"/>
          <w:szCs w:val="22"/>
        </w:rPr>
        <w:t xml:space="preserve">If patients will not be treated at the clinician’s institution but will move to an alternative tertiary referral centre (either within or outside the GLH area), it may be more appropriate for the receiving clinical team to take on the responsibility for coordinating submission of samples to the appropriate GLH laboratory. These arrangements should be agreed between the relevant clinical teams at the time of diagnosis. </w:t>
      </w:r>
    </w:p>
    <w:p w14:paraId="40A46638" w14:textId="77777777" w:rsidR="0026218A" w:rsidRDefault="0026218A" w:rsidP="0026218A">
      <w:pPr>
        <w:tabs>
          <w:tab w:val="left" w:pos="630"/>
        </w:tabs>
        <w:rPr>
          <w:rFonts w:ascii="Verdana" w:hAnsi="Verdana"/>
          <w:sz w:val="22"/>
          <w:szCs w:val="22"/>
        </w:rPr>
      </w:pPr>
    </w:p>
    <w:p w14:paraId="7DF23C98" w14:textId="77777777" w:rsidR="0026218A" w:rsidRDefault="0026218A" w:rsidP="0026218A">
      <w:pPr>
        <w:tabs>
          <w:tab w:val="left" w:pos="630"/>
        </w:tabs>
        <w:rPr>
          <w:rFonts w:ascii="Verdana" w:hAnsi="Verdana"/>
          <w:sz w:val="22"/>
          <w:szCs w:val="22"/>
        </w:rPr>
      </w:pPr>
      <w:r>
        <w:rPr>
          <w:rFonts w:ascii="Verdana" w:hAnsi="Verdana"/>
          <w:sz w:val="22"/>
          <w:szCs w:val="22"/>
        </w:rPr>
        <w:t>If patients will be treated at the clinician’s institution then it is that clinician’s responsibility to identify and submit appropriate tumour samples for DNA extraction, based on the diagnostic results available. Suitable tumour samples are:</w:t>
      </w:r>
    </w:p>
    <w:p w14:paraId="510B93A5" w14:textId="77777777" w:rsidR="0026218A" w:rsidRDefault="0026218A" w:rsidP="0026218A">
      <w:pPr>
        <w:tabs>
          <w:tab w:val="left" w:pos="630"/>
        </w:tabs>
        <w:rPr>
          <w:rFonts w:ascii="Verdana" w:hAnsi="Verdana"/>
          <w:sz w:val="22"/>
          <w:szCs w:val="22"/>
        </w:rPr>
      </w:pPr>
    </w:p>
    <w:p w14:paraId="442C07AB" w14:textId="77777777" w:rsidR="0026218A" w:rsidRDefault="0026218A" w:rsidP="0026218A">
      <w:pPr>
        <w:pStyle w:val="ListParagraph"/>
        <w:numPr>
          <w:ilvl w:val="0"/>
          <w:numId w:val="24"/>
        </w:numPr>
        <w:tabs>
          <w:tab w:val="left" w:pos="630"/>
        </w:tabs>
        <w:rPr>
          <w:rFonts w:ascii="Verdana" w:hAnsi="Verdana"/>
          <w:sz w:val="22"/>
          <w:szCs w:val="22"/>
        </w:rPr>
      </w:pPr>
      <w:r w:rsidRPr="00F300D2">
        <w:rPr>
          <w:rFonts w:ascii="Verdana" w:hAnsi="Verdana"/>
          <w:sz w:val="22"/>
          <w:szCs w:val="22"/>
          <w:u w:val="single"/>
        </w:rPr>
        <w:t>Acute myeloid leukaemia</w:t>
      </w:r>
      <w:r>
        <w:rPr>
          <w:rFonts w:ascii="Verdana" w:hAnsi="Verdana"/>
          <w:sz w:val="22"/>
          <w:szCs w:val="22"/>
        </w:rPr>
        <w:t xml:space="preserve">: </w:t>
      </w:r>
      <w:r w:rsidRPr="00F300D2">
        <w:rPr>
          <w:rFonts w:ascii="Verdana" w:hAnsi="Verdana"/>
          <w:sz w:val="22"/>
          <w:szCs w:val="22"/>
        </w:rPr>
        <w:t xml:space="preserve">bone marrow aspirate or peripheral blood containing </w:t>
      </w:r>
      <w:r>
        <w:rPr>
          <w:rFonts w:ascii="Verdana" w:hAnsi="Verdana"/>
          <w:sz w:val="22"/>
          <w:szCs w:val="22"/>
        </w:rPr>
        <w:t>≥</w:t>
      </w:r>
      <w:r w:rsidRPr="00F300D2">
        <w:rPr>
          <w:rFonts w:ascii="Verdana" w:hAnsi="Verdana"/>
          <w:sz w:val="22"/>
          <w:szCs w:val="22"/>
        </w:rPr>
        <w:t xml:space="preserve">20% blasts morphologically </w:t>
      </w:r>
      <w:r>
        <w:rPr>
          <w:rFonts w:ascii="Verdana" w:hAnsi="Verdana"/>
          <w:sz w:val="22"/>
          <w:szCs w:val="22"/>
        </w:rPr>
        <w:t>(</w:t>
      </w:r>
      <w:r w:rsidRPr="00F300D2">
        <w:rPr>
          <w:rFonts w:ascii="Verdana" w:hAnsi="Verdana"/>
          <w:sz w:val="22"/>
          <w:szCs w:val="22"/>
        </w:rPr>
        <w:t>or any blast percentage if there is an AML-defining genetic abnormality as per WHO 2016 Guideline</w:t>
      </w:r>
      <w:r>
        <w:rPr>
          <w:rFonts w:ascii="Verdana" w:hAnsi="Verdana"/>
          <w:sz w:val="22"/>
          <w:szCs w:val="22"/>
        </w:rPr>
        <w:t>s</w:t>
      </w:r>
      <w:r w:rsidRPr="00F300D2">
        <w:rPr>
          <w:rFonts w:ascii="Verdana" w:hAnsi="Verdana"/>
          <w:sz w:val="22"/>
          <w:szCs w:val="22"/>
          <w:vertAlign w:val="superscript"/>
        </w:rPr>
        <w:t>1</w:t>
      </w:r>
      <w:r>
        <w:rPr>
          <w:rFonts w:ascii="Verdana" w:hAnsi="Verdana"/>
          <w:sz w:val="22"/>
          <w:szCs w:val="22"/>
        </w:rPr>
        <w:t>)</w:t>
      </w:r>
    </w:p>
    <w:p w14:paraId="682F0615" w14:textId="77777777" w:rsidR="0026218A" w:rsidRDefault="0026218A" w:rsidP="0026218A">
      <w:pPr>
        <w:pStyle w:val="ListParagraph"/>
        <w:tabs>
          <w:tab w:val="left" w:pos="630"/>
        </w:tabs>
        <w:rPr>
          <w:rFonts w:ascii="Verdana" w:hAnsi="Verdana"/>
          <w:sz w:val="22"/>
          <w:szCs w:val="22"/>
        </w:rPr>
      </w:pPr>
    </w:p>
    <w:p w14:paraId="6F094119" w14:textId="77777777" w:rsidR="0026218A" w:rsidRDefault="0026218A" w:rsidP="0026218A">
      <w:pPr>
        <w:pStyle w:val="ListParagraph"/>
        <w:numPr>
          <w:ilvl w:val="0"/>
          <w:numId w:val="24"/>
        </w:numPr>
        <w:tabs>
          <w:tab w:val="left" w:pos="630"/>
        </w:tabs>
        <w:rPr>
          <w:rFonts w:ascii="Verdana" w:hAnsi="Verdana"/>
          <w:sz w:val="22"/>
          <w:szCs w:val="22"/>
        </w:rPr>
      </w:pPr>
      <w:r>
        <w:rPr>
          <w:rFonts w:ascii="Verdana" w:hAnsi="Verdana"/>
          <w:sz w:val="22"/>
          <w:szCs w:val="22"/>
          <w:u w:val="single"/>
        </w:rPr>
        <w:t>Acute lymphoblastic leukaemia</w:t>
      </w:r>
      <w:r w:rsidRPr="00F300D2">
        <w:rPr>
          <w:rFonts w:ascii="Verdana" w:hAnsi="Verdana"/>
          <w:sz w:val="22"/>
          <w:szCs w:val="22"/>
        </w:rPr>
        <w:t>:</w:t>
      </w:r>
      <w:r>
        <w:rPr>
          <w:rFonts w:ascii="Verdana" w:hAnsi="Verdana"/>
          <w:sz w:val="22"/>
          <w:szCs w:val="22"/>
        </w:rPr>
        <w:t xml:space="preserve"> </w:t>
      </w:r>
      <w:r w:rsidRPr="00F300D2">
        <w:rPr>
          <w:rFonts w:ascii="Verdana" w:hAnsi="Verdana"/>
          <w:sz w:val="22"/>
          <w:szCs w:val="22"/>
        </w:rPr>
        <w:t xml:space="preserve">Suitable tumour materials are bone marrow aspirate or peripheral blood containing </w:t>
      </w:r>
      <w:r>
        <w:rPr>
          <w:rFonts w:ascii="Verdana" w:hAnsi="Verdana"/>
          <w:sz w:val="22"/>
          <w:szCs w:val="22"/>
        </w:rPr>
        <w:t>≥3</w:t>
      </w:r>
      <w:r w:rsidRPr="00F300D2">
        <w:rPr>
          <w:rFonts w:ascii="Verdana" w:hAnsi="Verdana"/>
          <w:sz w:val="22"/>
          <w:szCs w:val="22"/>
        </w:rPr>
        <w:t xml:space="preserve">0% blasts morphologically. </w:t>
      </w:r>
    </w:p>
    <w:p w14:paraId="51134462" w14:textId="77777777" w:rsidR="0026218A" w:rsidRPr="00F300D2" w:rsidRDefault="0026218A" w:rsidP="0026218A">
      <w:pPr>
        <w:tabs>
          <w:tab w:val="left" w:pos="630"/>
        </w:tabs>
        <w:rPr>
          <w:rFonts w:ascii="Verdana" w:hAnsi="Verdana"/>
          <w:sz w:val="22"/>
          <w:szCs w:val="22"/>
        </w:rPr>
      </w:pPr>
    </w:p>
    <w:p w14:paraId="6B333772" w14:textId="77777777" w:rsidR="0026218A" w:rsidRPr="00F300D2" w:rsidRDefault="0026218A" w:rsidP="0026218A">
      <w:pPr>
        <w:pStyle w:val="ListParagraph"/>
        <w:numPr>
          <w:ilvl w:val="0"/>
          <w:numId w:val="24"/>
        </w:numPr>
        <w:tabs>
          <w:tab w:val="left" w:pos="630"/>
        </w:tabs>
        <w:rPr>
          <w:rFonts w:ascii="Verdana" w:hAnsi="Verdana"/>
          <w:sz w:val="22"/>
          <w:szCs w:val="22"/>
        </w:rPr>
      </w:pPr>
      <w:r w:rsidRPr="00F300D2">
        <w:rPr>
          <w:rFonts w:ascii="Verdana" w:hAnsi="Verdana"/>
          <w:sz w:val="22"/>
          <w:szCs w:val="22"/>
        </w:rPr>
        <w:t>If another body fluid (e.g. cerebrospinal fluid, ascitic fluid, pleural fluid) has been proven immunophenotypically / histologically to be infiltrated with AML</w:t>
      </w:r>
      <w:r>
        <w:rPr>
          <w:rFonts w:ascii="Verdana" w:hAnsi="Verdana"/>
          <w:sz w:val="22"/>
          <w:szCs w:val="22"/>
        </w:rPr>
        <w:t xml:space="preserve"> or ALL</w:t>
      </w:r>
      <w:r w:rsidRPr="00F300D2">
        <w:rPr>
          <w:rFonts w:ascii="Verdana" w:hAnsi="Verdana"/>
          <w:sz w:val="22"/>
          <w:szCs w:val="22"/>
        </w:rPr>
        <w:t>, provided DNA quality and quantity QC metrics are met, this could be used as tumour source in the absence of an appropriate peripheral blood or bone marrow sample.</w:t>
      </w:r>
    </w:p>
    <w:p w14:paraId="26E2F412" w14:textId="77777777" w:rsidR="0026218A" w:rsidRDefault="0026218A" w:rsidP="0026218A">
      <w:pPr>
        <w:tabs>
          <w:tab w:val="left" w:pos="630"/>
        </w:tabs>
        <w:rPr>
          <w:rFonts w:ascii="Verdana" w:hAnsi="Verdana"/>
          <w:sz w:val="22"/>
          <w:szCs w:val="22"/>
        </w:rPr>
      </w:pPr>
    </w:p>
    <w:p w14:paraId="6BBA207E" w14:textId="77777777" w:rsidR="0026218A" w:rsidRPr="00B75D97" w:rsidRDefault="0026218A" w:rsidP="0026218A">
      <w:pPr>
        <w:pStyle w:val="ListParagraph"/>
        <w:numPr>
          <w:ilvl w:val="0"/>
          <w:numId w:val="24"/>
        </w:numPr>
        <w:tabs>
          <w:tab w:val="left" w:pos="630"/>
        </w:tabs>
        <w:rPr>
          <w:rFonts w:ascii="Verdana" w:hAnsi="Verdana"/>
          <w:sz w:val="22"/>
          <w:szCs w:val="22"/>
        </w:rPr>
      </w:pPr>
      <w:r w:rsidRPr="00F300D2">
        <w:rPr>
          <w:rFonts w:ascii="Verdana" w:hAnsi="Verdana"/>
          <w:sz w:val="22"/>
          <w:szCs w:val="22"/>
        </w:rPr>
        <w:t xml:space="preserve">In children with other ‘liquid’ </w:t>
      </w:r>
      <w:r w:rsidRPr="0033115F">
        <w:rPr>
          <w:rFonts w:ascii="Verdana" w:hAnsi="Verdana"/>
          <w:sz w:val="22"/>
          <w:szCs w:val="22"/>
          <w:u w:val="single"/>
        </w:rPr>
        <w:t>non-acute leukaemia haematological malignancies</w:t>
      </w:r>
      <w:r w:rsidRPr="00F300D2">
        <w:rPr>
          <w:rFonts w:ascii="Verdana" w:hAnsi="Verdana"/>
          <w:sz w:val="22"/>
          <w:szCs w:val="22"/>
        </w:rPr>
        <w:t xml:space="preserve"> (including lymphoid malignancies infiltrating blood and marrow as well as myeloid diseases such as myelodysplasia (MDS), myeloproliferative disorders (MPD) and chronic myeloid leukaemia (CML)), peripheral blood or bone marrow samples should be used as the tumour type. In order to obtain informative WGS sequencing it is necessary for the ‘malignant cell burden’ o</w:t>
      </w:r>
      <w:r>
        <w:rPr>
          <w:rFonts w:ascii="Verdana" w:hAnsi="Verdana"/>
          <w:sz w:val="22"/>
          <w:szCs w:val="22"/>
        </w:rPr>
        <w:t>f the sample to equal / exceed 3</w:t>
      </w:r>
      <w:r w:rsidRPr="00F300D2">
        <w:rPr>
          <w:rFonts w:ascii="Verdana" w:hAnsi="Verdana"/>
          <w:sz w:val="22"/>
          <w:szCs w:val="22"/>
        </w:rPr>
        <w:t xml:space="preserve">0%. Whilst in some malignancies (e.g. lymphoid) this can be determined morphologically / immunophenotypically, it is acknowledged that in others (e.g. myelodysplastic syndrome /myeloproliferative neoplasms) there is no definitive malignant cell phenotype detected using standard diagnostic means. In these circumstances a surrogate marker of the malignant cell burden (e.g. myeloid cell percentage) </w:t>
      </w:r>
      <w:r w:rsidRPr="00B75D97">
        <w:rPr>
          <w:rFonts w:ascii="Verdana" w:hAnsi="Verdana"/>
          <w:sz w:val="22"/>
          <w:szCs w:val="22"/>
        </w:rPr>
        <w:t>can be used</w:t>
      </w:r>
      <w:r>
        <w:rPr>
          <w:rFonts w:ascii="Verdana" w:hAnsi="Verdana"/>
          <w:sz w:val="22"/>
          <w:szCs w:val="22"/>
        </w:rPr>
        <w:t>; see Appendix 1</w:t>
      </w:r>
      <w:r w:rsidRPr="00B75D97">
        <w:rPr>
          <w:rFonts w:ascii="Verdana" w:hAnsi="Verdana"/>
          <w:sz w:val="22"/>
          <w:szCs w:val="22"/>
        </w:rPr>
        <w:t>.</w:t>
      </w:r>
      <w:r>
        <w:rPr>
          <w:rFonts w:ascii="Verdana" w:hAnsi="Verdana"/>
          <w:sz w:val="22"/>
          <w:szCs w:val="22"/>
        </w:rPr>
        <w:t xml:space="preserve"> For solid specimens (e.g. lymphoma), please see the separate guidance for paediatric tumour samples. </w:t>
      </w:r>
    </w:p>
    <w:p w14:paraId="5E7D6653" w14:textId="77777777" w:rsidR="0026218A" w:rsidRDefault="0026218A" w:rsidP="0026218A">
      <w:pPr>
        <w:tabs>
          <w:tab w:val="left" w:pos="630"/>
        </w:tabs>
        <w:rPr>
          <w:rFonts w:ascii="Verdana" w:hAnsi="Verdana"/>
          <w:sz w:val="22"/>
          <w:szCs w:val="22"/>
        </w:rPr>
      </w:pPr>
    </w:p>
    <w:p w14:paraId="0BCB755E" w14:textId="77777777" w:rsidR="0026218A" w:rsidRPr="002231B5" w:rsidRDefault="0026218A" w:rsidP="0026218A">
      <w:pPr>
        <w:pStyle w:val="ListParagraph"/>
        <w:numPr>
          <w:ilvl w:val="0"/>
          <w:numId w:val="24"/>
        </w:numPr>
        <w:tabs>
          <w:tab w:val="left" w:pos="630"/>
        </w:tabs>
        <w:rPr>
          <w:rFonts w:ascii="Verdana" w:hAnsi="Verdana"/>
          <w:sz w:val="22"/>
          <w:szCs w:val="22"/>
        </w:rPr>
      </w:pPr>
      <w:r>
        <w:rPr>
          <w:rFonts w:ascii="Verdana" w:hAnsi="Verdana"/>
          <w:sz w:val="22"/>
          <w:szCs w:val="22"/>
        </w:rPr>
        <w:t>Note that in exceptional circumstances, submission of alternative sample types for WGS will be permitted. Where a sample has not been forwarded for DNA extraction because a diagnosis of a WGS eligible condition was not initially suspected and no further fresh material is available, it is permissible for stored frozen cell pellets from liquid tumours or locally extracted DNA to be transferred to the GLH DNA extraction laboratory once a diagnosis has been made. Please contact the GLH DNA extraction laboratory for further discussion prior to submission.</w:t>
      </w:r>
    </w:p>
    <w:p w14:paraId="17624A41" w14:textId="77777777" w:rsidR="0026218A" w:rsidRPr="00B75D97" w:rsidRDefault="0026218A" w:rsidP="0026218A">
      <w:pPr>
        <w:tabs>
          <w:tab w:val="left" w:pos="630"/>
        </w:tabs>
        <w:rPr>
          <w:rFonts w:ascii="Verdana" w:hAnsi="Verdana"/>
          <w:sz w:val="22"/>
          <w:szCs w:val="22"/>
        </w:rPr>
      </w:pPr>
    </w:p>
    <w:p w14:paraId="30C74E72" w14:textId="77777777" w:rsidR="0026218A" w:rsidRPr="00B75D97" w:rsidRDefault="0026218A" w:rsidP="0026218A">
      <w:pPr>
        <w:tabs>
          <w:tab w:val="left" w:pos="630"/>
        </w:tabs>
        <w:rPr>
          <w:rFonts w:ascii="Verdana" w:hAnsi="Verdana"/>
          <w:sz w:val="22"/>
          <w:szCs w:val="22"/>
        </w:rPr>
      </w:pPr>
      <w:r w:rsidRPr="00B75D97">
        <w:rPr>
          <w:rFonts w:ascii="Verdana" w:hAnsi="Verdana"/>
          <w:sz w:val="22"/>
          <w:szCs w:val="22"/>
        </w:rPr>
        <w:t>Once an appropriate peripheral blood or bone marrow tumour sample has been identified and labelled, a Genomic Medicine Service WGS Test Reque</w:t>
      </w:r>
      <w:r>
        <w:rPr>
          <w:rFonts w:ascii="Verdana" w:hAnsi="Verdana"/>
          <w:sz w:val="22"/>
          <w:szCs w:val="22"/>
        </w:rPr>
        <w:t xml:space="preserve">st (Cancer) should be printed and completed, using the section for tumour samples. </w:t>
      </w:r>
    </w:p>
    <w:p w14:paraId="6919330B" w14:textId="77777777" w:rsidR="0026218A" w:rsidRPr="00E24090" w:rsidRDefault="0026218A" w:rsidP="0026218A">
      <w:pPr>
        <w:tabs>
          <w:tab w:val="left" w:pos="630"/>
        </w:tabs>
        <w:rPr>
          <w:rFonts w:ascii="Verdana" w:hAnsi="Verdana"/>
          <w:sz w:val="22"/>
          <w:szCs w:val="22"/>
        </w:rPr>
      </w:pPr>
      <w:r w:rsidRPr="00B75D97">
        <w:rPr>
          <w:rFonts w:ascii="Verdana" w:hAnsi="Verdana"/>
          <w:sz w:val="22"/>
          <w:szCs w:val="22"/>
        </w:rPr>
        <w:t xml:space="preserve">The form </w:t>
      </w:r>
      <w:r w:rsidRPr="00E24090">
        <w:rPr>
          <w:rFonts w:ascii="Verdana" w:hAnsi="Verdana"/>
          <w:sz w:val="22"/>
          <w:szCs w:val="22"/>
        </w:rPr>
        <w:t xml:space="preserve">can be downloaded here: </w:t>
      </w:r>
      <w:hyperlink r:id="rId8" w:tgtFrame="_blank" w:history="1">
        <w:r w:rsidRPr="00E24090">
          <w:rPr>
            <w:rStyle w:val="Hyperlink"/>
            <w:rFonts w:ascii="Verdana" w:hAnsi="Verdana"/>
            <w:sz w:val="22"/>
            <w:szCs w:val="22"/>
          </w:rPr>
          <w:t>https://test-selection-private.genomics.nhs.uk/test-selection</w:t>
        </w:r>
      </w:hyperlink>
    </w:p>
    <w:p w14:paraId="06C81FB7" w14:textId="77777777" w:rsidR="0026218A" w:rsidRDefault="0026218A" w:rsidP="0026218A">
      <w:pPr>
        <w:tabs>
          <w:tab w:val="left" w:pos="630"/>
        </w:tabs>
        <w:rPr>
          <w:rStyle w:val="Hyperlink"/>
          <w:rFonts w:ascii="Verdana" w:hAnsi="Verdana"/>
          <w:sz w:val="22"/>
          <w:szCs w:val="22"/>
        </w:rPr>
      </w:pPr>
      <w:r>
        <w:rPr>
          <w:rFonts w:ascii="Verdana" w:hAnsi="Verdana"/>
          <w:sz w:val="22"/>
          <w:szCs w:val="22"/>
        </w:rPr>
        <w:t>The “Responsible consultant” should be the referring clinician.</w:t>
      </w:r>
    </w:p>
    <w:p w14:paraId="4675667A" w14:textId="77777777" w:rsidR="0026218A" w:rsidRPr="00B75D97" w:rsidRDefault="0026218A" w:rsidP="0026218A">
      <w:pPr>
        <w:tabs>
          <w:tab w:val="left" w:pos="630"/>
        </w:tabs>
        <w:rPr>
          <w:rFonts w:ascii="Verdana" w:hAnsi="Verdana"/>
          <w:sz w:val="22"/>
          <w:szCs w:val="22"/>
        </w:rPr>
      </w:pPr>
    </w:p>
    <w:p w14:paraId="20E93C9A" w14:textId="77777777" w:rsidR="0026218A" w:rsidRPr="00B75D97" w:rsidRDefault="0026218A" w:rsidP="0026218A">
      <w:pPr>
        <w:tabs>
          <w:tab w:val="left" w:pos="630"/>
        </w:tabs>
        <w:rPr>
          <w:rFonts w:ascii="Verdana" w:hAnsi="Verdana"/>
          <w:sz w:val="22"/>
          <w:szCs w:val="22"/>
        </w:rPr>
      </w:pPr>
      <w:r w:rsidRPr="00B75D97">
        <w:rPr>
          <w:rFonts w:ascii="Verdana" w:hAnsi="Verdana"/>
          <w:sz w:val="22"/>
          <w:szCs w:val="22"/>
        </w:rPr>
        <w:t xml:space="preserve">The tumour sample and Test Request form should be packaged </w:t>
      </w:r>
      <w:r>
        <w:rPr>
          <w:rFonts w:ascii="Verdana" w:hAnsi="Verdana"/>
          <w:sz w:val="22"/>
          <w:szCs w:val="22"/>
        </w:rPr>
        <w:t xml:space="preserve">in a pre-labelled sample bag </w:t>
      </w:r>
      <w:r w:rsidRPr="00B75D97">
        <w:rPr>
          <w:rFonts w:ascii="Verdana" w:hAnsi="Verdana"/>
          <w:sz w:val="22"/>
          <w:szCs w:val="22"/>
        </w:rPr>
        <w:t xml:space="preserve">and sent </w:t>
      </w:r>
      <w:r>
        <w:rPr>
          <w:rFonts w:ascii="Verdana" w:hAnsi="Verdana"/>
          <w:sz w:val="22"/>
          <w:szCs w:val="22"/>
        </w:rPr>
        <w:t xml:space="preserve">in a cool box </w:t>
      </w:r>
      <w:r w:rsidRPr="00B75D97">
        <w:rPr>
          <w:rFonts w:ascii="Verdana" w:hAnsi="Verdana"/>
          <w:sz w:val="22"/>
          <w:szCs w:val="22"/>
        </w:rPr>
        <w:t>by next-day delivery to:</w:t>
      </w:r>
    </w:p>
    <w:p w14:paraId="2EC6911A" w14:textId="77777777" w:rsidR="0026218A" w:rsidRDefault="0026218A" w:rsidP="0026218A">
      <w:pPr>
        <w:rPr>
          <w:rFonts w:ascii="Verdana" w:hAnsi="Verdana"/>
          <w:sz w:val="22"/>
          <w:szCs w:val="22"/>
          <w:shd w:val="clear" w:color="auto" w:fill="FFFFFF"/>
          <w:lang w:eastAsia="en-US"/>
        </w:rPr>
      </w:pPr>
      <w:r w:rsidRPr="00B75D97">
        <w:rPr>
          <w:rFonts w:ascii="Verdana" w:hAnsi="Verdana"/>
          <w:sz w:val="22"/>
          <w:szCs w:val="22"/>
        </w:rPr>
        <w:t xml:space="preserve">EMEE WGS Haem-Onc DNA extraction, </w:t>
      </w:r>
      <w:r>
        <w:rPr>
          <w:rFonts w:ascii="Verdana" w:hAnsi="Verdana"/>
          <w:sz w:val="22"/>
          <w:szCs w:val="22"/>
        </w:rPr>
        <w:t>Clinical Genetics Laboratory</w:t>
      </w:r>
      <w:r>
        <w:rPr>
          <w:rFonts w:ascii="Verdana" w:hAnsi="Verdana"/>
          <w:sz w:val="22"/>
          <w:szCs w:val="22"/>
          <w:shd w:val="clear" w:color="auto" w:fill="FFFFFF"/>
          <w:lang w:eastAsia="en-US"/>
        </w:rPr>
        <w:t>, Level 6</w:t>
      </w:r>
      <w:r w:rsidRPr="00B75D97">
        <w:rPr>
          <w:rFonts w:ascii="Verdana" w:hAnsi="Verdana"/>
          <w:sz w:val="22"/>
          <w:szCs w:val="22"/>
          <w:shd w:val="clear" w:color="auto" w:fill="FFFFFF"/>
          <w:lang w:eastAsia="en-US"/>
        </w:rPr>
        <w:t xml:space="preserve"> </w:t>
      </w:r>
      <w:r>
        <w:rPr>
          <w:rFonts w:ascii="Verdana" w:hAnsi="Verdana"/>
          <w:sz w:val="22"/>
          <w:szCs w:val="22"/>
          <w:shd w:val="clear" w:color="auto" w:fill="FFFFFF"/>
          <w:lang w:eastAsia="en-US"/>
        </w:rPr>
        <w:t>Addenbrooke’s Treatment Centre</w:t>
      </w:r>
      <w:r w:rsidRPr="00B75D97">
        <w:rPr>
          <w:rFonts w:ascii="Verdana" w:hAnsi="Verdana"/>
          <w:sz w:val="22"/>
          <w:szCs w:val="22"/>
          <w:shd w:val="clear" w:color="auto" w:fill="FFFFFF"/>
          <w:lang w:eastAsia="en-US"/>
        </w:rPr>
        <w:t>,</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University Hospitals NHS Foundation Trust, Hills Road,</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CB2 0QQ</w:t>
      </w:r>
      <w:r>
        <w:rPr>
          <w:rFonts w:ascii="Verdana" w:hAnsi="Verdana"/>
          <w:sz w:val="22"/>
          <w:szCs w:val="22"/>
          <w:shd w:val="clear" w:color="auto" w:fill="FFFFFF"/>
          <w:lang w:eastAsia="en-US"/>
        </w:rPr>
        <w:t>.</w:t>
      </w:r>
    </w:p>
    <w:p w14:paraId="12B94BEB" w14:textId="77777777" w:rsidR="0026218A" w:rsidRDefault="0026218A" w:rsidP="0026218A">
      <w:pPr>
        <w:rPr>
          <w:rFonts w:ascii="Verdana" w:hAnsi="Verdana"/>
          <w:sz w:val="22"/>
          <w:szCs w:val="22"/>
          <w:shd w:val="clear" w:color="auto" w:fill="FFFFFF"/>
          <w:lang w:eastAsia="en-US"/>
        </w:rPr>
      </w:pPr>
    </w:p>
    <w:p w14:paraId="69A2360F" w14:textId="77777777" w:rsidR="0026218A" w:rsidRDefault="0026218A" w:rsidP="0026218A">
      <w:pPr>
        <w:rPr>
          <w:rFonts w:ascii="Verdana" w:hAnsi="Verdana"/>
          <w:sz w:val="22"/>
          <w:szCs w:val="22"/>
          <w:shd w:val="clear" w:color="auto" w:fill="FFFFFF"/>
          <w:lang w:eastAsia="en-US"/>
        </w:rPr>
      </w:pPr>
      <w:r w:rsidRPr="00EA2D8F">
        <w:rPr>
          <w:rFonts w:ascii="Verdana" w:hAnsi="Verdana"/>
          <w:sz w:val="22"/>
          <w:szCs w:val="22"/>
          <w:shd w:val="clear" w:color="auto" w:fill="FFFFFF"/>
          <w:lang w:eastAsia="en-US"/>
        </w:rPr>
        <w:t xml:space="preserve">Samples </w:t>
      </w:r>
      <w:r>
        <w:rPr>
          <w:rFonts w:ascii="Verdana" w:hAnsi="Verdana"/>
          <w:sz w:val="22"/>
          <w:szCs w:val="22"/>
          <w:shd w:val="clear" w:color="auto" w:fill="FFFFFF"/>
          <w:lang w:eastAsia="en-US"/>
        </w:rPr>
        <w:t>can</w:t>
      </w:r>
      <w:r w:rsidRPr="00EA2D8F">
        <w:rPr>
          <w:rFonts w:ascii="Verdana" w:hAnsi="Verdana"/>
          <w:sz w:val="22"/>
          <w:szCs w:val="22"/>
          <w:shd w:val="clear" w:color="auto" w:fill="FFFFFF"/>
          <w:lang w:eastAsia="en-US"/>
        </w:rPr>
        <w:t xml:space="preserve"> be </w:t>
      </w:r>
      <w:r>
        <w:rPr>
          <w:rFonts w:ascii="Verdana" w:hAnsi="Verdana"/>
          <w:sz w:val="22"/>
          <w:szCs w:val="22"/>
          <w:shd w:val="clear" w:color="auto" w:fill="FFFFFF"/>
          <w:lang w:eastAsia="en-US"/>
        </w:rPr>
        <w:t xml:space="preserve">sent and </w:t>
      </w:r>
      <w:r w:rsidRPr="00EA2D8F">
        <w:rPr>
          <w:rFonts w:ascii="Verdana" w:hAnsi="Verdana"/>
          <w:sz w:val="22"/>
          <w:szCs w:val="22"/>
          <w:shd w:val="clear" w:color="auto" w:fill="FFFFFF"/>
          <w:lang w:eastAsia="en-US"/>
        </w:rPr>
        <w:t>tracked through the CitySprint courier service provided by the GLH.</w:t>
      </w:r>
    </w:p>
    <w:p w14:paraId="0F00C66D" w14:textId="77777777" w:rsidR="0026218A" w:rsidRDefault="0026218A" w:rsidP="0026218A">
      <w:pPr>
        <w:tabs>
          <w:tab w:val="left" w:pos="630"/>
        </w:tabs>
        <w:rPr>
          <w:rFonts w:ascii="Verdana" w:hAnsi="Verdana"/>
          <w:sz w:val="22"/>
          <w:szCs w:val="22"/>
          <w:shd w:val="clear" w:color="auto" w:fill="FFFFFF"/>
          <w:lang w:eastAsia="en-US"/>
        </w:rPr>
      </w:pPr>
      <w:r>
        <w:rPr>
          <w:rFonts w:ascii="Verdana" w:hAnsi="Verdana"/>
          <w:sz w:val="22"/>
          <w:szCs w:val="22"/>
          <w:shd w:val="clear" w:color="auto" w:fill="FFFFFF"/>
          <w:lang w:eastAsia="en-US"/>
        </w:rPr>
        <w:t xml:space="preserve">Any samples not sent immediately should be </w:t>
      </w:r>
      <w:r w:rsidRPr="00B75D97">
        <w:rPr>
          <w:rFonts w:ascii="Verdana" w:hAnsi="Verdana"/>
          <w:sz w:val="22"/>
          <w:szCs w:val="22"/>
          <w:shd w:val="clear" w:color="auto" w:fill="FFFFFF"/>
          <w:lang w:eastAsia="en-US"/>
        </w:rPr>
        <w:t>stored at 4</w:t>
      </w:r>
      <w:r w:rsidRPr="00B75D97">
        <w:rPr>
          <w:rFonts w:ascii="Verdana" w:hAnsi="Verdana"/>
          <w:sz w:val="22"/>
          <w:szCs w:val="22"/>
          <w:shd w:val="clear" w:color="auto" w:fill="FFFFFF"/>
          <w:vertAlign w:val="superscript"/>
          <w:lang w:eastAsia="en-US"/>
        </w:rPr>
        <w:t>o</w:t>
      </w:r>
      <w:r w:rsidRPr="00B75D97">
        <w:rPr>
          <w:rFonts w:ascii="Verdana" w:hAnsi="Verdana"/>
          <w:sz w:val="22"/>
          <w:szCs w:val="22"/>
          <w:shd w:val="clear" w:color="auto" w:fill="FFFFFF"/>
          <w:lang w:eastAsia="en-US"/>
        </w:rPr>
        <w:t>C</w:t>
      </w:r>
      <w:r>
        <w:rPr>
          <w:rFonts w:ascii="Verdana" w:hAnsi="Verdana"/>
          <w:sz w:val="22"/>
          <w:szCs w:val="22"/>
          <w:shd w:val="clear" w:color="auto" w:fill="FFFFFF"/>
          <w:lang w:eastAsia="en-US"/>
        </w:rPr>
        <w:t xml:space="preserve"> until dispatch.</w:t>
      </w:r>
    </w:p>
    <w:p w14:paraId="2BC9096F" w14:textId="77777777" w:rsidR="0026218A" w:rsidRDefault="0026218A" w:rsidP="0026218A">
      <w:pPr>
        <w:tabs>
          <w:tab w:val="left" w:pos="630"/>
        </w:tabs>
        <w:rPr>
          <w:rFonts w:ascii="Verdana" w:hAnsi="Verdana"/>
          <w:sz w:val="22"/>
          <w:szCs w:val="22"/>
        </w:rPr>
      </w:pPr>
    </w:p>
    <w:p w14:paraId="5A7BA5E3" w14:textId="77777777" w:rsidR="0026218A" w:rsidRPr="0037097F" w:rsidRDefault="0026218A" w:rsidP="0026218A">
      <w:pPr>
        <w:tabs>
          <w:tab w:val="left" w:pos="630"/>
        </w:tabs>
        <w:rPr>
          <w:rFonts w:ascii="Verdana" w:hAnsi="Verdana"/>
          <w:b/>
          <w:sz w:val="22"/>
          <w:szCs w:val="22"/>
        </w:rPr>
      </w:pPr>
    </w:p>
    <w:p w14:paraId="5497E901" w14:textId="77777777" w:rsidR="0026218A" w:rsidRDefault="0026218A" w:rsidP="0026218A">
      <w:pPr>
        <w:pStyle w:val="Heading1"/>
      </w:pPr>
      <w:bookmarkStart w:id="7" w:name="_Toc59625906"/>
      <w:r>
        <w:t>4.3</w:t>
      </w:r>
      <w:r w:rsidRPr="0033115F">
        <w:tab/>
      </w:r>
      <w:r>
        <w:t>S</w:t>
      </w:r>
      <w:r w:rsidRPr="0033115F">
        <w:t xml:space="preserve">ubmission of </w:t>
      </w:r>
      <w:r>
        <w:t>germline</w:t>
      </w:r>
      <w:r w:rsidRPr="0033115F">
        <w:t xml:space="preserve"> </w:t>
      </w:r>
      <w:r>
        <w:t xml:space="preserve">DNA </w:t>
      </w:r>
      <w:r w:rsidRPr="0033115F">
        <w:t>sample</w:t>
      </w:r>
      <w:r>
        <w:t>s</w:t>
      </w:r>
      <w:bookmarkEnd w:id="7"/>
    </w:p>
    <w:p w14:paraId="62D2A8A6" w14:textId="77777777" w:rsidR="0026218A" w:rsidRPr="00D35FFD" w:rsidRDefault="0026218A" w:rsidP="0026218A">
      <w:pPr>
        <w:tabs>
          <w:tab w:val="left" w:pos="630"/>
        </w:tabs>
        <w:rPr>
          <w:rFonts w:ascii="Verdana" w:hAnsi="Verdana"/>
          <w:b/>
          <w:sz w:val="22"/>
          <w:szCs w:val="22"/>
        </w:rPr>
      </w:pPr>
    </w:p>
    <w:p w14:paraId="469CC79D" w14:textId="77777777" w:rsidR="0026218A" w:rsidRPr="0033115F" w:rsidRDefault="0026218A" w:rsidP="0026218A">
      <w:pPr>
        <w:tabs>
          <w:tab w:val="left" w:pos="630"/>
        </w:tabs>
        <w:rPr>
          <w:rFonts w:ascii="Verdana" w:hAnsi="Verdana"/>
          <w:sz w:val="22"/>
          <w:szCs w:val="22"/>
        </w:rPr>
      </w:pPr>
      <w:r>
        <w:rPr>
          <w:rFonts w:ascii="Verdana" w:hAnsi="Verdana"/>
          <w:sz w:val="22"/>
          <w:szCs w:val="22"/>
        </w:rPr>
        <w:t xml:space="preserve">Submission of a matched germline DNA sample is currently mandatory for WGS to proceed. The germline sample can be submitted by the clinical team at any point following the suspected or confirmed diagnosis of acute leukaemia.  </w:t>
      </w:r>
    </w:p>
    <w:p w14:paraId="07A2ADAD" w14:textId="77777777" w:rsidR="0026218A" w:rsidRPr="00D35FFD" w:rsidRDefault="0026218A" w:rsidP="0026218A">
      <w:pPr>
        <w:tabs>
          <w:tab w:val="left" w:pos="630"/>
        </w:tabs>
        <w:rPr>
          <w:rFonts w:ascii="Verdana" w:hAnsi="Verdana"/>
          <w:b/>
          <w:sz w:val="22"/>
          <w:szCs w:val="22"/>
        </w:rPr>
      </w:pPr>
    </w:p>
    <w:p w14:paraId="06ED7EF2" w14:textId="77777777" w:rsidR="0026218A" w:rsidRDefault="0026218A" w:rsidP="0026218A">
      <w:pPr>
        <w:tabs>
          <w:tab w:val="left" w:pos="630"/>
        </w:tabs>
        <w:rPr>
          <w:rFonts w:ascii="Verdana" w:hAnsi="Verdana"/>
          <w:sz w:val="22"/>
          <w:szCs w:val="22"/>
        </w:rPr>
      </w:pPr>
      <w:r>
        <w:rPr>
          <w:rFonts w:ascii="Verdana" w:hAnsi="Verdana"/>
          <w:sz w:val="22"/>
          <w:szCs w:val="22"/>
        </w:rPr>
        <w:t>Acceptable sources of germline DNA are:</w:t>
      </w:r>
    </w:p>
    <w:p w14:paraId="602BCD20" w14:textId="77777777" w:rsidR="0026218A" w:rsidRDefault="0026218A" w:rsidP="0026218A">
      <w:pPr>
        <w:tabs>
          <w:tab w:val="left" w:pos="630"/>
        </w:tabs>
        <w:rPr>
          <w:rFonts w:ascii="Verdana" w:hAnsi="Verdana"/>
          <w:sz w:val="22"/>
          <w:szCs w:val="22"/>
        </w:rPr>
      </w:pPr>
    </w:p>
    <w:p w14:paraId="0B691BD8" w14:textId="77777777" w:rsidR="0026218A" w:rsidRDefault="0026218A" w:rsidP="0026218A">
      <w:pPr>
        <w:pStyle w:val="ListParagraph"/>
        <w:numPr>
          <w:ilvl w:val="0"/>
          <w:numId w:val="26"/>
        </w:numPr>
        <w:tabs>
          <w:tab w:val="left" w:pos="630"/>
        </w:tabs>
        <w:rPr>
          <w:rFonts w:ascii="Verdana" w:hAnsi="Verdana"/>
          <w:sz w:val="22"/>
          <w:szCs w:val="22"/>
        </w:rPr>
      </w:pPr>
      <w:r w:rsidRPr="0033115F">
        <w:rPr>
          <w:rFonts w:ascii="Verdana" w:hAnsi="Verdana"/>
          <w:sz w:val="22"/>
          <w:szCs w:val="22"/>
        </w:rPr>
        <w:t>Saliva</w:t>
      </w:r>
      <w:r>
        <w:rPr>
          <w:rFonts w:ascii="Verdana" w:hAnsi="Verdana"/>
          <w:sz w:val="22"/>
          <w:szCs w:val="22"/>
        </w:rPr>
        <w:t>,</w:t>
      </w:r>
      <w:r w:rsidRPr="0033115F">
        <w:rPr>
          <w:rFonts w:ascii="Verdana" w:hAnsi="Verdana"/>
          <w:sz w:val="22"/>
          <w:szCs w:val="22"/>
        </w:rPr>
        <w:t xml:space="preserve"> collected </w:t>
      </w:r>
    </w:p>
    <w:p w14:paraId="5A5DF16D" w14:textId="77777777" w:rsidR="0026218A" w:rsidRDefault="0026218A" w:rsidP="0026218A">
      <w:pPr>
        <w:pStyle w:val="ListParagraph"/>
        <w:numPr>
          <w:ilvl w:val="1"/>
          <w:numId w:val="26"/>
        </w:numPr>
        <w:tabs>
          <w:tab w:val="left" w:pos="630"/>
        </w:tabs>
        <w:rPr>
          <w:rFonts w:ascii="Verdana" w:hAnsi="Verdana"/>
          <w:sz w:val="22"/>
          <w:szCs w:val="22"/>
        </w:rPr>
      </w:pPr>
      <w:r>
        <w:rPr>
          <w:rFonts w:ascii="Verdana" w:hAnsi="Verdana"/>
          <w:sz w:val="22"/>
          <w:szCs w:val="22"/>
        </w:rPr>
        <w:t xml:space="preserve">For AML: </w:t>
      </w:r>
      <w:r w:rsidRPr="0033115F">
        <w:rPr>
          <w:rFonts w:ascii="Verdana" w:hAnsi="Verdana"/>
          <w:sz w:val="22"/>
          <w:szCs w:val="22"/>
        </w:rPr>
        <w:t xml:space="preserve">once sufficient treatment has been given to remove all circulating myeloid </w:t>
      </w:r>
      <w:r>
        <w:rPr>
          <w:rFonts w:ascii="Verdana" w:hAnsi="Verdana"/>
          <w:sz w:val="22"/>
          <w:szCs w:val="22"/>
        </w:rPr>
        <w:t>cells from the peripheral blood</w:t>
      </w:r>
      <w:r w:rsidRPr="0033115F">
        <w:rPr>
          <w:rFonts w:ascii="Verdana" w:hAnsi="Verdana"/>
          <w:sz w:val="22"/>
          <w:szCs w:val="22"/>
        </w:rPr>
        <w:t xml:space="preserve"> e.g. on day 5 after administration of two doses of anthracycline chemotherapy (or equivalent) in patients receiving intensive induction chemotherapy.</w:t>
      </w:r>
    </w:p>
    <w:p w14:paraId="6103D922" w14:textId="77777777" w:rsidR="0026218A" w:rsidRDefault="0026218A" w:rsidP="0026218A">
      <w:pPr>
        <w:pStyle w:val="ListParagraph"/>
        <w:numPr>
          <w:ilvl w:val="1"/>
          <w:numId w:val="26"/>
        </w:numPr>
        <w:tabs>
          <w:tab w:val="left" w:pos="630"/>
        </w:tabs>
        <w:rPr>
          <w:rFonts w:ascii="Verdana" w:hAnsi="Verdana"/>
          <w:sz w:val="22"/>
          <w:szCs w:val="22"/>
        </w:rPr>
      </w:pPr>
      <w:r>
        <w:rPr>
          <w:rFonts w:ascii="Verdana" w:hAnsi="Verdana"/>
          <w:sz w:val="22"/>
          <w:szCs w:val="22"/>
        </w:rPr>
        <w:t>For ALL: once there are no circulating blasts in the peripheral blood (confirmed by morphological assessment)</w:t>
      </w:r>
    </w:p>
    <w:p w14:paraId="6BADD4D3" w14:textId="77777777" w:rsidR="0026218A" w:rsidRDefault="0026218A" w:rsidP="0026218A">
      <w:pPr>
        <w:pStyle w:val="ListParagraph"/>
        <w:tabs>
          <w:tab w:val="left" w:pos="630"/>
        </w:tabs>
        <w:rPr>
          <w:rFonts w:ascii="Verdana" w:hAnsi="Verdana"/>
          <w:sz w:val="22"/>
          <w:szCs w:val="22"/>
        </w:rPr>
      </w:pPr>
    </w:p>
    <w:p w14:paraId="06CA9CF0" w14:textId="77777777" w:rsidR="0026218A" w:rsidRDefault="0026218A" w:rsidP="0026218A">
      <w:pPr>
        <w:pStyle w:val="ListParagraph"/>
        <w:numPr>
          <w:ilvl w:val="0"/>
          <w:numId w:val="26"/>
        </w:numPr>
        <w:tabs>
          <w:tab w:val="left" w:pos="630"/>
        </w:tabs>
        <w:rPr>
          <w:rFonts w:ascii="Verdana" w:hAnsi="Verdana"/>
          <w:sz w:val="22"/>
          <w:szCs w:val="22"/>
        </w:rPr>
      </w:pPr>
      <w:r w:rsidRPr="0033115F">
        <w:rPr>
          <w:rFonts w:ascii="Verdana" w:hAnsi="Verdana"/>
          <w:sz w:val="22"/>
          <w:szCs w:val="22"/>
        </w:rPr>
        <w:t>Cultured fibroblasts from a skin biopsy.</w:t>
      </w:r>
      <w:r>
        <w:rPr>
          <w:rFonts w:ascii="Verdana" w:hAnsi="Verdana"/>
          <w:sz w:val="22"/>
          <w:szCs w:val="22"/>
        </w:rPr>
        <w:t xml:space="preserve"> This may be preferable in situations where there is a high likelihood of skin infiltration by neoplastic haematological cells, e.g. monocytic disorders.</w:t>
      </w:r>
    </w:p>
    <w:p w14:paraId="25F36773" w14:textId="77777777" w:rsidR="0026218A" w:rsidRPr="0033115F" w:rsidRDefault="0026218A" w:rsidP="0026218A">
      <w:pPr>
        <w:tabs>
          <w:tab w:val="left" w:pos="630"/>
        </w:tabs>
        <w:rPr>
          <w:rFonts w:ascii="Verdana" w:hAnsi="Verdana"/>
          <w:sz w:val="22"/>
          <w:szCs w:val="22"/>
        </w:rPr>
      </w:pPr>
    </w:p>
    <w:p w14:paraId="05D46C77" w14:textId="77777777" w:rsidR="0026218A" w:rsidRDefault="0026218A" w:rsidP="0026218A">
      <w:pPr>
        <w:pStyle w:val="ListParagraph"/>
        <w:numPr>
          <w:ilvl w:val="0"/>
          <w:numId w:val="26"/>
        </w:numPr>
        <w:tabs>
          <w:tab w:val="left" w:pos="630"/>
        </w:tabs>
        <w:rPr>
          <w:rFonts w:ascii="Verdana" w:hAnsi="Verdana"/>
          <w:sz w:val="22"/>
          <w:szCs w:val="22"/>
        </w:rPr>
      </w:pPr>
      <w:r w:rsidRPr="0033115F">
        <w:rPr>
          <w:rFonts w:ascii="Verdana" w:hAnsi="Verdana"/>
          <w:sz w:val="22"/>
          <w:szCs w:val="22"/>
        </w:rPr>
        <w:t>Uncultured skin biopsy.</w:t>
      </w:r>
    </w:p>
    <w:p w14:paraId="4151C1DC" w14:textId="77777777" w:rsidR="0026218A" w:rsidRPr="0033115F" w:rsidRDefault="0026218A" w:rsidP="0026218A">
      <w:pPr>
        <w:tabs>
          <w:tab w:val="left" w:pos="630"/>
        </w:tabs>
        <w:rPr>
          <w:rFonts w:ascii="Verdana" w:hAnsi="Verdana"/>
          <w:sz w:val="22"/>
          <w:szCs w:val="22"/>
        </w:rPr>
      </w:pPr>
    </w:p>
    <w:p w14:paraId="7886EA56" w14:textId="77777777" w:rsidR="0026218A" w:rsidRDefault="0026218A" w:rsidP="0026218A">
      <w:pPr>
        <w:tabs>
          <w:tab w:val="left" w:pos="630"/>
        </w:tabs>
        <w:rPr>
          <w:rFonts w:ascii="Verdana" w:hAnsi="Verdana"/>
          <w:sz w:val="22"/>
          <w:szCs w:val="22"/>
        </w:rPr>
      </w:pPr>
      <w:r w:rsidRPr="0033115F">
        <w:rPr>
          <w:rFonts w:ascii="Verdana" w:hAnsi="Verdana"/>
          <w:sz w:val="22"/>
          <w:szCs w:val="22"/>
        </w:rPr>
        <w:t>Whenever possible any of the above sample types should be used as the germline source as these will minimise the delays in submitting paired tumour and germline samples for WGS, or in the case of cultured fibroblasts, represent the traditionally acknowledged ‘gold standard’ germline source. However, when it is not possible to obtain any of the above sample types it is acceptable to submit peripheral blood or bone marrow aspirate samples which are either negative for or have a diagnostic minimal / measurable residual disease (MRD) marker (e.g. NPM1, RUNX1-RUNX1T1</w:t>
      </w:r>
      <w:r>
        <w:rPr>
          <w:rFonts w:ascii="Verdana" w:hAnsi="Verdana"/>
          <w:sz w:val="22"/>
          <w:szCs w:val="22"/>
        </w:rPr>
        <w:t xml:space="preserve"> for AML; </w:t>
      </w:r>
      <w:r w:rsidRPr="0033115F">
        <w:rPr>
          <w:rFonts w:ascii="Verdana" w:hAnsi="Verdana"/>
          <w:sz w:val="22"/>
          <w:szCs w:val="22"/>
        </w:rPr>
        <w:t>BCR or TCR gene rearrangement or BCR-ABL transcript</w:t>
      </w:r>
      <w:r>
        <w:rPr>
          <w:rFonts w:ascii="Verdana" w:hAnsi="Verdana"/>
          <w:sz w:val="22"/>
          <w:szCs w:val="22"/>
        </w:rPr>
        <w:t xml:space="preserve"> for ALL</w:t>
      </w:r>
      <w:r w:rsidRPr="0033115F">
        <w:rPr>
          <w:rFonts w:ascii="Verdana" w:hAnsi="Verdana"/>
          <w:sz w:val="22"/>
          <w:szCs w:val="22"/>
        </w:rPr>
        <w:t>) detectable at a level of &lt;0.1% as the source of germline DNA.</w:t>
      </w:r>
      <w:r>
        <w:rPr>
          <w:rFonts w:ascii="Verdana" w:hAnsi="Verdana"/>
          <w:sz w:val="22"/>
          <w:szCs w:val="22"/>
        </w:rPr>
        <w:t xml:space="preserve"> It is recommended that any such patients are discussed with the GLH DNA extraction laboratory prior to sample submission.</w:t>
      </w:r>
    </w:p>
    <w:p w14:paraId="6AD8E824" w14:textId="77777777" w:rsidR="0026218A" w:rsidRDefault="0026218A" w:rsidP="0026218A">
      <w:pPr>
        <w:tabs>
          <w:tab w:val="left" w:pos="630"/>
        </w:tabs>
        <w:rPr>
          <w:rFonts w:ascii="Verdana" w:hAnsi="Verdana"/>
          <w:sz w:val="22"/>
          <w:szCs w:val="22"/>
        </w:rPr>
      </w:pPr>
    </w:p>
    <w:p w14:paraId="1E4E9382" w14:textId="77777777" w:rsidR="0026218A" w:rsidRDefault="0026218A" w:rsidP="0026218A">
      <w:pPr>
        <w:tabs>
          <w:tab w:val="left" w:pos="630"/>
        </w:tabs>
        <w:rPr>
          <w:rFonts w:ascii="Verdana" w:hAnsi="Verdana"/>
          <w:sz w:val="22"/>
          <w:szCs w:val="22"/>
        </w:rPr>
      </w:pPr>
      <w:r>
        <w:rPr>
          <w:rFonts w:ascii="Verdana" w:hAnsi="Verdana"/>
          <w:sz w:val="22"/>
          <w:szCs w:val="22"/>
        </w:rPr>
        <w:t xml:space="preserve">All germline samples should be sent with a completed </w:t>
      </w:r>
      <w:r w:rsidRPr="00B75D97">
        <w:rPr>
          <w:rFonts w:ascii="Verdana" w:hAnsi="Verdana"/>
          <w:sz w:val="22"/>
          <w:szCs w:val="22"/>
        </w:rPr>
        <w:t>Genomic Medicine Service WGS Test Reque</w:t>
      </w:r>
      <w:r>
        <w:rPr>
          <w:rFonts w:ascii="Verdana" w:hAnsi="Verdana"/>
          <w:sz w:val="22"/>
          <w:szCs w:val="22"/>
        </w:rPr>
        <w:t xml:space="preserve">st (Cancer), using the section for germline samples.  </w:t>
      </w:r>
    </w:p>
    <w:p w14:paraId="477DA164" w14:textId="77777777" w:rsidR="0026218A" w:rsidRPr="00B75D97" w:rsidRDefault="0026218A" w:rsidP="0026218A">
      <w:pPr>
        <w:tabs>
          <w:tab w:val="left" w:pos="630"/>
        </w:tabs>
        <w:rPr>
          <w:rFonts w:ascii="Verdana" w:hAnsi="Verdana"/>
          <w:sz w:val="22"/>
          <w:szCs w:val="22"/>
        </w:rPr>
      </w:pPr>
      <w:r w:rsidRPr="00B75D97">
        <w:rPr>
          <w:rFonts w:ascii="Verdana" w:hAnsi="Verdana"/>
          <w:sz w:val="22"/>
          <w:szCs w:val="22"/>
        </w:rPr>
        <w:t xml:space="preserve">The form can be downloaded </w:t>
      </w:r>
      <w:r>
        <w:rPr>
          <w:rFonts w:ascii="Verdana" w:hAnsi="Verdana"/>
          <w:sz w:val="22"/>
          <w:szCs w:val="22"/>
        </w:rPr>
        <w:t xml:space="preserve">for printing </w:t>
      </w:r>
      <w:r w:rsidRPr="00B75D97">
        <w:rPr>
          <w:rFonts w:ascii="Verdana" w:hAnsi="Verdana"/>
          <w:sz w:val="22"/>
          <w:szCs w:val="22"/>
        </w:rPr>
        <w:t xml:space="preserve">here: </w:t>
      </w:r>
      <w:hyperlink r:id="rId9" w:tgtFrame="_blank" w:history="1">
        <w:r w:rsidRPr="00E24090">
          <w:rPr>
            <w:rStyle w:val="Hyperlink"/>
            <w:rFonts w:ascii="Verdana" w:hAnsi="Verdana"/>
            <w:sz w:val="22"/>
            <w:szCs w:val="22"/>
          </w:rPr>
          <w:t>https://test-selection-private.genomics.nhs.uk/test-selection</w:t>
        </w:r>
      </w:hyperlink>
    </w:p>
    <w:p w14:paraId="39A557E3" w14:textId="77777777" w:rsidR="0026218A" w:rsidRDefault="0026218A" w:rsidP="0026218A">
      <w:pPr>
        <w:tabs>
          <w:tab w:val="left" w:pos="630"/>
        </w:tabs>
        <w:rPr>
          <w:rFonts w:ascii="Verdana" w:hAnsi="Verdana"/>
          <w:sz w:val="22"/>
          <w:szCs w:val="22"/>
        </w:rPr>
      </w:pPr>
      <w:r>
        <w:rPr>
          <w:rFonts w:ascii="Verdana" w:hAnsi="Verdana"/>
          <w:sz w:val="22"/>
          <w:szCs w:val="22"/>
        </w:rPr>
        <w:t>It is recommended that the “Responsible consultant” is the referring clinician and the “Main contact” is the local SIHMDS lead (unless no SIHMDS within the GLH is used). Please note that germline samples can be submitted directly to the DNA extraction laboratory in Cambridge, rather than via the SIHMDS service (see below).</w:t>
      </w:r>
    </w:p>
    <w:p w14:paraId="17298226" w14:textId="77777777" w:rsidR="0026218A" w:rsidRDefault="0026218A" w:rsidP="0026218A">
      <w:pPr>
        <w:tabs>
          <w:tab w:val="left" w:pos="630"/>
        </w:tabs>
        <w:rPr>
          <w:rFonts w:ascii="Verdana" w:hAnsi="Verdana"/>
          <w:b/>
          <w:sz w:val="22"/>
          <w:szCs w:val="22"/>
        </w:rPr>
      </w:pPr>
    </w:p>
    <w:p w14:paraId="2E72A7C0" w14:textId="77777777" w:rsidR="0026218A" w:rsidRDefault="0026218A" w:rsidP="0026218A">
      <w:pPr>
        <w:tabs>
          <w:tab w:val="left" w:pos="630"/>
        </w:tabs>
        <w:rPr>
          <w:rFonts w:ascii="Verdana" w:hAnsi="Verdana"/>
          <w:b/>
          <w:sz w:val="22"/>
          <w:szCs w:val="22"/>
        </w:rPr>
      </w:pPr>
    </w:p>
    <w:p w14:paraId="7F9A3036" w14:textId="77777777" w:rsidR="0026218A" w:rsidRDefault="0026218A" w:rsidP="0026218A">
      <w:pPr>
        <w:tabs>
          <w:tab w:val="left" w:pos="630"/>
        </w:tabs>
        <w:rPr>
          <w:rFonts w:ascii="Verdana" w:hAnsi="Verdana"/>
          <w:sz w:val="22"/>
          <w:szCs w:val="22"/>
        </w:rPr>
      </w:pPr>
      <w:r>
        <w:rPr>
          <w:rFonts w:ascii="Verdana" w:hAnsi="Verdana"/>
          <w:b/>
          <w:sz w:val="22"/>
          <w:szCs w:val="22"/>
        </w:rPr>
        <w:t>4.3.1</w:t>
      </w:r>
      <w:r>
        <w:rPr>
          <w:rFonts w:ascii="Verdana" w:hAnsi="Verdana"/>
          <w:b/>
          <w:sz w:val="22"/>
          <w:szCs w:val="22"/>
        </w:rPr>
        <w:tab/>
      </w:r>
      <w:r w:rsidRPr="0033115F">
        <w:rPr>
          <w:rFonts w:ascii="Verdana" w:hAnsi="Verdana"/>
          <w:b/>
          <w:sz w:val="22"/>
          <w:szCs w:val="22"/>
        </w:rPr>
        <w:tab/>
      </w:r>
      <w:r>
        <w:rPr>
          <w:rFonts w:ascii="Verdana" w:hAnsi="Verdana"/>
          <w:b/>
          <w:sz w:val="22"/>
          <w:szCs w:val="22"/>
        </w:rPr>
        <w:t>Collection</w:t>
      </w:r>
      <w:r w:rsidRPr="0033115F">
        <w:rPr>
          <w:rFonts w:ascii="Verdana" w:hAnsi="Verdana"/>
          <w:b/>
          <w:sz w:val="22"/>
          <w:szCs w:val="22"/>
        </w:rPr>
        <w:t xml:space="preserve"> of </w:t>
      </w:r>
      <w:r>
        <w:rPr>
          <w:rFonts w:ascii="Verdana" w:hAnsi="Verdana"/>
          <w:b/>
          <w:sz w:val="22"/>
          <w:szCs w:val="22"/>
        </w:rPr>
        <w:t>saliva</w:t>
      </w:r>
      <w:r w:rsidRPr="0033115F">
        <w:rPr>
          <w:rFonts w:ascii="Verdana" w:hAnsi="Verdana"/>
          <w:b/>
          <w:sz w:val="22"/>
          <w:szCs w:val="22"/>
        </w:rPr>
        <w:t xml:space="preserve"> sample</w:t>
      </w:r>
      <w:r>
        <w:rPr>
          <w:rFonts w:ascii="Verdana" w:hAnsi="Verdana"/>
          <w:b/>
          <w:sz w:val="22"/>
          <w:szCs w:val="22"/>
        </w:rPr>
        <w:t>s</w:t>
      </w:r>
    </w:p>
    <w:p w14:paraId="5938820C" w14:textId="77777777" w:rsidR="0026218A" w:rsidRPr="00D35FFD" w:rsidRDefault="0026218A" w:rsidP="0026218A">
      <w:pPr>
        <w:tabs>
          <w:tab w:val="left" w:pos="1360"/>
        </w:tabs>
        <w:rPr>
          <w:rFonts w:ascii="Verdana" w:hAnsi="Verdana"/>
          <w:b/>
          <w:sz w:val="22"/>
          <w:szCs w:val="22"/>
        </w:rPr>
      </w:pPr>
      <w:r>
        <w:rPr>
          <w:rFonts w:ascii="Verdana" w:hAnsi="Verdana"/>
          <w:b/>
          <w:sz w:val="22"/>
          <w:szCs w:val="22"/>
        </w:rPr>
        <w:tab/>
      </w:r>
    </w:p>
    <w:p w14:paraId="67E1FF11" w14:textId="77777777" w:rsidR="0026218A" w:rsidRPr="000E20BF" w:rsidRDefault="0026218A" w:rsidP="0026218A">
      <w:pPr>
        <w:tabs>
          <w:tab w:val="left" w:pos="630"/>
        </w:tabs>
        <w:rPr>
          <w:rFonts w:ascii="Verdana" w:hAnsi="Verdana"/>
          <w:sz w:val="22"/>
          <w:szCs w:val="22"/>
        </w:rPr>
      </w:pPr>
      <w:r>
        <w:rPr>
          <w:rFonts w:ascii="Verdana" w:hAnsi="Verdana"/>
          <w:sz w:val="22"/>
          <w:szCs w:val="22"/>
        </w:rPr>
        <w:t xml:space="preserve">Saliva should be collected using an Oragene DNA kit according to the instructions supplied with the kit. The expiry date should be checked and the instructions followed meticulously to optimise the yield of DNA.   </w:t>
      </w:r>
    </w:p>
    <w:p w14:paraId="640320EA" w14:textId="77777777" w:rsidR="0026218A" w:rsidRDefault="0026218A" w:rsidP="0026218A">
      <w:pPr>
        <w:tabs>
          <w:tab w:val="left" w:pos="630"/>
        </w:tabs>
        <w:rPr>
          <w:rFonts w:ascii="Verdana" w:hAnsi="Verdana"/>
          <w:b/>
          <w:sz w:val="22"/>
          <w:szCs w:val="22"/>
        </w:rPr>
      </w:pPr>
    </w:p>
    <w:p w14:paraId="6712A6DE" w14:textId="77777777" w:rsidR="0026218A" w:rsidRPr="000E20BF" w:rsidRDefault="0026218A" w:rsidP="0026218A">
      <w:pPr>
        <w:tabs>
          <w:tab w:val="left" w:pos="630"/>
        </w:tabs>
        <w:rPr>
          <w:rFonts w:ascii="Verdana" w:hAnsi="Verdana"/>
          <w:sz w:val="22"/>
          <w:szCs w:val="22"/>
        </w:rPr>
      </w:pPr>
      <w:r>
        <w:rPr>
          <w:rFonts w:ascii="Verdana" w:hAnsi="Verdana"/>
          <w:sz w:val="22"/>
          <w:szCs w:val="22"/>
        </w:rPr>
        <w:t xml:space="preserve">The saliva sample </w:t>
      </w:r>
      <w:r w:rsidRPr="00B75D97">
        <w:rPr>
          <w:rFonts w:ascii="Verdana" w:hAnsi="Verdana"/>
          <w:sz w:val="22"/>
          <w:szCs w:val="22"/>
        </w:rPr>
        <w:t xml:space="preserve">and Test Request form </w:t>
      </w:r>
      <w:r>
        <w:rPr>
          <w:rFonts w:ascii="Verdana" w:hAnsi="Verdana"/>
          <w:sz w:val="22"/>
          <w:szCs w:val="22"/>
        </w:rPr>
        <w:t xml:space="preserve">should be </w:t>
      </w:r>
      <w:r w:rsidRPr="00B75D97">
        <w:rPr>
          <w:rFonts w:ascii="Verdana" w:hAnsi="Verdana"/>
          <w:sz w:val="22"/>
          <w:szCs w:val="22"/>
        </w:rPr>
        <w:t xml:space="preserve">packaged </w:t>
      </w:r>
      <w:r>
        <w:rPr>
          <w:rFonts w:ascii="Verdana" w:hAnsi="Verdana"/>
          <w:sz w:val="22"/>
          <w:szCs w:val="22"/>
        </w:rPr>
        <w:t xml:space="preserve">in a pre-labelled sample bag </w:t>
      </w:r>
      <w:r w:rsidRPr="00B75D97">
        <w:rPr>
          <w:rFonts w:ascii="Verdana" w:hAnsi="Verdana"/>
          <w:sz w:val="22"/>
          <w:szCs w:val="22"/>
        </w:rPr>
        <w:t xml:space="preserve">and sent </w:t>
      </w:r>
      <w:r>
        <w:rPr>
          <w:rFonts w:ascii="Verdana" w:hAnsi="Verdana"/>
          <w:sz w:val="22"/>
          <w:szCs w:val="22"/>
        </w:rPr>
        <w:t xml:space="preserve">at room temperature </w:t>
      </w:r>
      <w:r w:rsidRPr="00B75D97">
        <w:rPr>
          <w:rFonts w:ascii="Verdana" w:hAnsi="Verdana"/>
          <w:sz w:val="22"/>
          <w:szCs w:val="22"/>
        </w:rPr>
        <w:t>by next-day delivery to:</w:t>
      </w:r>
    </w:p>
    <w:p w14:paraId="51988823" w14:textId="77777777" w:rsidR="0026218A" w:rsidRDefault="0026218A" w:rsidP="0026218A">
      <w:pPr>
        <w:rPr>
          <w:rFonts w:ascii="Verdana" w:hAnsi="Verdana"/>
          <w:sz w:val="22"/>
          <w:szCs w:val="22"/>
          <w:shd w:val="clear" w:color="auto" w:fill="FFFFFF"/>
          <w:lang w:eastAsia="en-US"/>
        </w:rPr>
      </w:pPr>
      <w:r w:rsidRPr="00B75D97">
        <w:rPr>
          <w:rFonts w:ascii="Verdana" w:hAnsi="Verdana"/>
          <w:sz w:val="22"/>
          <w:szCs w:val="22"/>
        </w:rPr>
        <w:t xml:space="preserve">EMEE WGS </w:t>
      </w:r>
      <w:r>
        <w:rPr>
          <w:rFonts w:ascii="Verdana" w:hAnsi="Verdana"/>
          <w:sz w:val="22"/>
          <w:szCs w:val="22"/>
        </w:rPr>
        <w:t>Cancer Germline</w:t>
      </w:r>
      <w:r w:rsidRPr="00B75D97">
        <w:rPr>
          <w:rFonts w:ascii="Verdana" w:hAnsi="Verdana"/>
          <w:sz w:val="22"/>
          <w:szCs w:val="22"/>
        </w:rPr>
        <w:t xml:space="preserve"> DNA extraction, </w:t>
      </w:r>
      <w:r>
        <w:rPr>
          <w:rFonts w:ascii="Verdana" w:hAnsi="Verdana"/>
          <w:sz w:val="22"/>
          <w:szCs w:val="22"/>
        </w:rPr>
        <w:t>Clinical Genetics Laboratory</w:t>
      </w:r>
      <w:r>
        <w:rPr>
          <w:rFonts w:ascii="Verdana" w:hAnsi="Verdana"/>
          <w:sz w:val="22"/>
          <w:szCs w:val="22"/>
          <w:shd w:val="clear" w:color="auto" w:fill="FFFFFF"/>
          <w:lang w:eastAsia="en-US"/>
        </w:rPr>
        <w:t>, Level 6</w:t>
      </w:r>
      <w:r w:rsidRPr="00B75D97">
        <w:rPr>
          <w:rFonts w:ascii="Verdana" w:hAnsi="Verdana"/>
          <w:sz w:val="22"/>
          <w:szCs w:val="22"/>
          <w:shd w:val="clear" w:color="auto" w:fill="FFFFFF"/>
          <w:lang w:eastAsia="en-US"/>
        </w:rPr>
        <w:t xml:space="preserve"> </w:t>
      </w:r>
      <w:r>
        <w:rPr>
          <w:rFonts w:ascii="Verdana" w:hAnsi="Verdana"/>
          <w:sz w:val="22"/>
          <w:szCs w:val="22"/>
          <w:shd w:val="clear" w:color="auto" w:fill="FFFFFF"/>
          <w:lang w:eastAsia="en-US"/>
        </w:rPr>
        <w:t>Addenbrooke’s Treatment Centre</w:t>
      </w:r>
      <w:r w:rsidRPr="00B75D97">
        <w:rPr>
          <w:rFonts w:ascii="Verdana" w:hAnsi="Verdana"/>
          <w:sz w:val="22"/>
          <w:szCs w:val="22"/>
          <w:shd w:val="clear" w:color="auto" w:fill="FFFFFF"/>
          <w:lang w:eastAsia="en-US"/>
        </w:rPr>
        <w:t>,</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University Hospitals NHS Foundation Trust, Hills Road,</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CB2 0QQ</w:t>
      </w:r>
      <w:r>
        <w:rPr>
          <w:rFonts w:ascii="Verdana" w:hAnsi="Verdana"/>
          <w:sz w:val="22"/>
          <w:szCs w:val="22"/>
          <w:shd w:val="clear" w:color="auto" w:fill="FFFFFF"/>
          <w:lang w:eastAsia="en-US"/>
        </w:rPr>
        <w:t>.</w:t>
      </w:r>
    </w:p>
    <w:p w14:paraId="63AB795C" w14:textId="77777777" w:rsidR="0026218A" w:rsidRDefault="0026218A" w:rsidP="0026218A">
      <w:pPr>
        <w:tabs>
          <w:tab w:val="left" w:pos="630"/>
        </w:tabs>
        <w:rPr>
          <w:rFonts w:ascii="Verdana" w:hAnsi="Verdana"/>
          <w:sz w:val="22"/>
          <w:szCs w:val="22"/>
        </w:rPr>
      </w:pPr>
    </w:p>
    <w:p w14:paraId="445BA5AC" w14:textId="77777777" w:rsidR="0026218A" w:rsidRPr="00EE40A6" w:rsidRDefault="0026218A" w:rsidP="0026218A">
      <w:pPr>
        <w:tabs>
          <w:tab w:val="left" w:pos="630"/>
        </w:tabs>
        <w:rPr>
          <w:rFonts w:ascii="Verdana" w:hAnsi="Verdana"/>
          <w:sz w:val="22"/>
          <w:szCs w:val="22"/>
        </w:rPr>
      </w:pPr>
      <w:r>
        <w:rPr>
          <w:rFonts w:ascii="Verdana" w:hAnsi="Verdana"/>
          <w:sz w:val="22"/>
          <w:szCs w:val="22"/>
        </w:rPr>
        <w:t>Saliva samples from patients at Cambridge University Hospitals should be collected using the Epic order “</w:t>
      </w:r>
      <w:r w:rsidRPr="00E635E3">
        <w:rPr>
          <w:rFonts w:ascii="Verdana" w:hAnsi="Verdana"/>
          <w:sz w:val="22"/>
          <w:szCs w:val="22"/>
        </w:rPr>
        <w:t>HODS WGS GERMLINE DNA EXTRACTION [LAB8586]</w:t>
      </w:r>
      <w:r>
        <w:rPr>
          <w:rFonts w:ascii="Verdana" w:hAnsi="Verdana"/>
          <w:sz w:val="22"/>
          <w:szCs w:val="22"/>
        </w:rPr>
        <w:t>” and sent to the Clinical Genetics Laboratory in the Level 6 Addenbrooke’s Treatment Centre. Note that a separate Test Request form is not needed for these internal patients.</w:t>
      </w:r>
    </w:p>
    <w:p w14:paraId="0AEF9CDE" w14:textId="77777777" w:rsidR="0026218A" w:rsidRPr="00D35FFD" w:rsidRDefault="0026218A" w:rsidP="0026218A">
      <w:pPr>
        <w:tabs>
          <w:tab w:val="left" w:pos="630"/>
        </w:tabs>
        <w:rPr>
          <w:rFonts w:ascii="Verdana" w:hAnsi="Verdana"/>
          <w:b/>
          <w:sz w:val="22"/>
          <w:szCs w:val="22"/>
        </w:rPr>
      </w:pPr>
    </w:p>
    <w:p w14:paraId="25619AE9" w14:textId="77777777" w:rsidR="0026218A" w:rsidRPr="00EF7F8F" w:rsidRDefault="0026218A" w:rsidP="0026218A">
      <w:pPr>
        <w:tabs>
          <w:tab w:val="left" w:pos="630"/>
        </w:tabs>
        <w:rPr>
          <w:rFonts w:ascii="Verdana" w:hAnsi="Verdana"/>
          <w:sz w:val="22"/>
          <w:szCs w:val="22"/>
        </w:rPr>
      </w:pPr>
      <w:r>
        <w:rPr>
          <w:rFonts w:ascii="Verdana" w:hAnsi="Verdana"/>
          <w:sz w:val="22"/>
          <w:szCs w:val="22"/>
        </w:rPr>
        <w:t xml:space="preserve">Oragene DNA </w:t>
      </w:r>
      <w:r w:rsidRPr="00EF7F8F">
        <w:rPr>
          <w:rFonts w:ascii="Verdana" w:hAnsi="Verdana"/>
          <w:sz w:val="22"/>
          <w:szCs w:val="22"/>
        </w:rPr>
        <w:t xml:space="preserve">kits will be supplied by the GLH laboratory in Cambridge. To request additional kits, please email </w:t>
      </w:r>
      <w:r w:rsidRPr="00EF7F8F">
        <w:rPr>
          <w:rFonts w:ascii="Verdana" w:hAnsi="Verdana"/>
          <w:sz w:val="22"/>
          <w:szCs w:val="22"/>
          <w:shd w:val="clear" w:color="auto" w:fill="FFFFFF"/>
        </w:rPr>
        <w:t>emee.glh@nhs.net</w:t>
      </w:r>
      <w:r w:rsidRPr="00EF7F8F">
        <w:rPr>
          <w:rFonts w:ascii="Verdana" w:hAnsi="Verdana"/>
          <w:sz w:val="22"/>
          <w:szCs w:val="22"/>
        </w:rPr>
        <w:t xml:space="preserve">. </w:t>
      </w:r>
    </w:p>
    <w:p w14:paraId="2C80A135" w14:textId="77777777" w:rsidR="0026218A" w:rsidRDefault="0026218A" w:rsidP="0026218A">
      <w:pPr>
        <w:tabs>
          <w:tab w:val="left" w:pos="630"/>
        </w:tabs>
        <w:rPr>
          <w:rFonts w:ascii="Verdana" w:hAnsi="Verdana"/>
          <w:b/>
          <w:sz w:val="22"/>
          <w:szCs w:val="22"/>
        </w:rPr>
      </w:pPr>
    </w:p>
    <w:p w14:paraId="5DB52972" w14:textId="77777777" w:rsidR="0026218A" w:rsidRPr="00D35FFD" w:rsidRDefault="0026218A" w:rsidP="0026218A">
      <w:pPr>
        <w:tabs>
          <w:tab w:val="left" w:pos="630"/>
        </w:tabs>
        <w:rPr>
          <w:rFonts w:ascii="Verdana" w:hAnsi="Verdana"/>
          <w:b/>
          <w:sz w:val="22"/>
          <w:szCs w:val="22"/>
        </w:rPr>
      </w:pPr>
    </w:p>
    <w:p w14:paraId="0A03E74A" w14:textId="77777777" w:rsidR="0026218A" w:rsidRDefault="0026218A" w:rsidP="0026218A">
      <w:pPr>
        <w:tabs>
          <w:tab w:val="left" w:pos="630"/>
        </w:tabs>
        <w:rPr>
          <w:rFonts w:ascii="Verdana" w:hAnsi="Verdana"/>
          <w:sz w:val="22"/>
          <w:szCs w:val="22"/>
        </w:rPr>
      </w:pPr>
      <w:r>
        <w:rPr>
          <w:rFonts w:ascii="Verdana" w:hAnsi="Verdana"/>
          <w:b/>
          <w:sz w:val="22"/>
          <w:szCs w:val="22"/>
        </w:rPr>
        <w:t>4.3.2</w:t>
      </w:r>
      <w:r>
        <w:rPr>
          <w:rFonts w:ascii="Verdana" w:hAnsi="Verdana"/>
          <w:b/>
          <w:sz w:val="22"/>
          <w:szCs w:val="22"/>
        </w:rPr>
        <w:tab/>
      </w:r>
      <w:r w:rsidRPr="0033115F">
        <w:rPr>
          <w:rFonts w:ascii="Verdana" w:hAnsi="Verdana"/>
          <w:b/>
          <w:sz w:val="22"/>
          <w:szCs w:val="22"/>
        </w:rPr>
        <w:tab/>
      </w:r>
      <w:r>
        <w:rPr>
          <w:rFonts w:ascii="Verdana" w:hAnsi="Verdana"/>
          <w:b/>
          <w:sz w:val="22"/>
          <w:szCs w:val="22"/>
        </w:rPr>
        <w:t>Collection</w:t>
      </w:r>
      <w:r w:rsidRPr="0033115F">
        <w:rPr>
          <w:rFonts w:ascii="Verdana" w:hAnsi="Verdana"/>
          <w:b/>
          <w:sz w:val="22"/>
          <w:szCs w:val="22"/>
        </w:rPr>
        <w:t xml:space="preserve"> of </w:t>
      </w:r>
      <w:r>
        <w:rPr>
          <w:rFonts w:ascii="Verdana" w:hAnsi="Verdana"/>
          <w:b/>
          <w:sz w:val="22"/>
          <w:szCs w:val="22"/>
        </w:rPr>
        <w:t>skin biopsy</w:t>
      </w:r>
      <w:r w:rsidRPr="0033115F">
        <w:rPr>
          <w:rFonts w:ascii="Verdana" w:hAnsi="Verdana"/>
          <w:b/>
          <w:sz w:val="22"/>
          <w:szCs w:val="22"/>
        </w:rPr>
        <w:t xml:space="preserve"> sample</w:t>
      </w:r>
      <w:r>
        <w:rPr>
          <w:rFonts w:ascii="Verdana" w:hAnsi="Verdana"/>
          <w:b/>
          <w:sz w:val="22"/>
          <w:szCs w:val="22"/>
        </w:rPr>
        <w:t>s (for DNA extraction without culture)</w:t>
      </w:r>
    </w:p>
    <w:p w14:paraId="52CCB26F" w14:textId="77777777" w:rsidR="0026218A" w:rsidRPr="00D35FFD" w:rsidRDefault="0026218A" w:rsidP="0026218A">
      <w:pPr>
        <w:tabs>
          <w:tab w:val="left" w:pos="630"/>
        </w:tabs>
        <w:rPr>
          <w:rFonts w:ascii="Verdana" w:hAnsi="Verdana"/>
          <w:b/>
          <w:sz w:val="22"/>
          <w:szCs w:val="22"/>
        </w:rPr>
      </w:pPr>
    </w:p>
    <w:p w14:paraId="11E64124" w14:textId="77777777" w:rsidR="0026218A" w:rsidRDefault="0026218A" w:rsidP="0026218A">
      <w:pPr>
        <w:tabs>
          <w:tab w:val="left" w:pos="630"/>
        </w:tabs>
        <w:rPr>
          <w:rFonts w:ascii="Verdana" w:hAnsi="Verdana"/>
          <w:sz w:val="22"/>
          <w:szCs w:val="22"/>
        </w:rPr>
      </w:pPr>
      <w:r>
        <w:rPr>
          <w:rFonts w:ascii="Verdana" w:hAnsi="Verdana"/>
          <w:sz w:val="22"/>
          <w:szCs w:val="22"/>
        </w:rPr>
        <w:t>A skin punch biopsy (~4 mm diameter) for DNA extraction can be collected (e.g. at the time of bone marrow biopsy) and either placed dry in an Eppendorf, sealed and wrapped in cling film, or in a larger tube adjacent to, but not touching, damp gauze. Biopsies should not be stored or transported in any sort of media. Samples should then be kept chilled (on ice). The sample and form should be dispatched by courier to the GLH DNA extraction laboratory.</w:t>
      </w:r>
    </w:p>
    <w:p w14:paraId="495DBC5F" w14:textId="77777777" w:rsidR="0026218A" w:rsidRPr="003541E7" w:rsidRDefault="0026218A" w:rsidP="0026218A">
      <w:pPr>
        <w:tabs>
          <w:tab w:val="left" w:pos="630"/>
        </w:tabs>
        <w:rPr>
          <w:rFonts w:ascii="Verdana" w:hAnsi="Verdana"/>
          <w:sz w:val="22"/>
          <w:szCs w:val="22"/>
        </w:rPr>
      </w:pPr>
    </w:p>
    <w:p w14:paraId="2C106E7E" w14:textId="77777777" w:rsidR="0026218A" w:rsidRPr="00EE40A6" w:rsidRDefault="0026218A" w:rsidP="0026218A">
      <w:pPr>
        <w:tabs>
          <w:tab w:val="left" w:pos="630"/>
        </w:tabs>
        <w:rPr>
          <w:rFonts w:ascii="Verdana" w:hAnsi="Verdana"/>
          <w:sz w:val="22"/>
          <w:szCs w:val="22"/>
        </w:rPr>
      </w:pPr>
      <w:r>
        <w:rPr>
          <w:rFonts w:ascii="Verdana" w:hAnsi="Verdana"/>
          <w:sz w:val="22"/>
          <w:szCs w:val="22"/>
        </w:rPr>
        <w:t>Skin biopsies from patients at Cambridge University Hospitals should be collected into a universal container, using the Epic order “</w:t>
      </w:r>
      <w:r w:rsidRPr="00E635E3">
        <w:rPr>
          <w:rFonts w:ascii="Verdana" w:hAnsi="Verdana"/>
          <w:sz w:val="22"/>
          <w:szCs w:val="22"/>
        </w:rPr>
        <w:t>HODS WGS GERMLINE DNA EXTRACTION [LAB8586]</w:t>
      </w:r>
      <w:r>
        <w:rPr>
          <w:rFonts w:ascii="Verdana" w:hAnsi="Verdana"/>
          <w:sz w:val="22"/>
          <w:szCs w:val="22"/>
        </w:rPr>
        <w:t>”. The sample should then be submitted to the Clinical Genetics Laboratory in the Level 6 Addenbrooke’s Treatment Centre. Note that a separate Test Request form is not needed for these internal patients.</w:t>
      </w:r>
    </w:p>
    <w:p w14:paraId="0D6B936B" w14:textId="77777777" w:rsidR="0026218A" w:rsidRDefault="0026218A" w:rsidP="0026218A">
      <w:pPr>
        <w:tabs>
          <w:tab w:val="left" w:pos="630"/>
        </w:tabs>
        <w:rPr>
          <w:rFonts w:ascii="Verdana" w:hAnsi="Verdana"/>
          <w:b/>
          <w:sz w:val="22"/>
          <w:szCs w:val="22"/>
        </w:rPr>
      </w:pPr>
    </w:p>
    <w:p w14:paraId="730339D3" w14:textId="77777777" w:rsidR="0026218A" w:rsidRDefault="0026218A" w:rsidP="0026218A">
      <w:pPr>
        <w:tabs>
          <w:tab w:val="left" w:pos="630"/>
        </w:tabs>
        <w:rPr>
          <w:rFonts w:ascii="Verdana" w:hAnsi="Verdana"/>
          <w:b/>
          <w:sz w:val="22"/>
          <w:szCs w:val="22"/>
        </w:rPr>
      </w:pPr>
    </w:p>
    <w:p w14:paraId="5DCE3834" w14:textId="77777777" w:rsidR="0026218A" w:rsidRDefault="0026218A" w:rsidP="0026218A">
      <w:pPr>
        <w:tabs>
          <w:tab w:val="left" w:pos="630"/>
        </w:tabs>
        <w:rPr>
          <w:rFonts w:ascii="Verdana" w:hAnsi="Verdana"/>
          <w:sz w:val="22"/>
          <w:szCs w:val="22"/>
        </w:rPr>
      </w:pPr>
      <w:r>
        <w:rPr>
          <w:rFonts w:ascii="Verdana" w:hAnsi="Verdana"/>
          <w:b/>
          <w:sz w:val="22"/>
          <w:szCs w:val="22"/>
        </w:rPr>
        <w:t>4.3.3</w:t>
      </w:r>
      <w:r>
        <w:rPr>
          <w:rFonts w:ascii="Verdana" w:hAnsi="Verdana"/>
          <w:b/>
          <w:sz w:val="22"/>
          <w:szCs w:val="22"/>
        </w:rPr>
        <w:tab/>
      </w:r>
      <w:r w:rsidRPr="0033115F">
        <w:rPr>
          <w:rFonts w:ascii="Verdana" w:hAnsi="Verdana"/>
          <w:b/>
          <w:sz w:val="22"/>
          <w:szCs w:val="22"/>
        </w:rPr>
        <w:tab/>
      </w:r>
      <w:r>
        <w:rPr>
          <w:rFonts w:ascii="Verdana" w:hAnsi="Verdana"/>
          <w:b/>
          <w:sz w:val="22"/>
          <w:szCs w:val="22"/>
        </w:rPr>
        <w:t>Collection</w:t>
      </w:r>
      <w:r w:rsidRPr="0033115F">
        <w:rPr>
          <w:rFonts w:ascii="Verdana" w:hAnsi="Verdana"/>
          <w:b/>
          <w:sz w:val="22"/>
          <w:szCs w:val="22"/>
        </w:rPr>
        <w:t xml:space="preserve"> of </w:t>
      </w:r>
      <w:r>
        <w:rPr>
          <w:rFonts w:ascii="Verdana" w:hAnsi="Verdana"/>
          <w:b/>
          <w:sz w:val="22"/>
          <w:szCs w:val="22"/>
        </w:rPr>
        <w:t>skin biopsy</w:t>
      </w:r>
      <w:r w:rsidRPr="0033115F">
        <w:rPr>
          <w:rFonts w:ascii="Verdana" w:hAnsi="Verdana"/>
          <w:b/>
          <w:sz w:val="22"/>
          <w:szCs w:val="22"/>
        </w:rPr>
        <w:t xml:space="preserve"> sample</w:t>
      </w:r>
      <w:r>
        <w:rPr>
          <w:rFonts w:ascii="Verdana" w:hAnsi="Verdana"/>
          <w:b/>
          <w:sz w:val="22"/>
          <w:szCs w:val="22"/>
        </w:rPr>
        <w:t>s (for culture of fibroblasts)</w:t>
      </w:r>
    </w:p>
    <w:p w14:paraId="4B4F1A1A" w14:textId="77777777" w:rsidR="0026218A" w:rsidRPr="00D35FFD" w:rsidRDefault="0026218A" w:rsidP="0026218A">
      <w:pPr>
        <w:tabs>
          <w:tab w:val="left" w:pos="630"/>
        </w:tabs>
        <w:rPr>
          <w:rFonts w:ascii="Verdana" w:hAnsi="Verdana"/>
          <w:b/>
          <w:sz w:val="22"/>
          <w:szCs w:val="22"/>
        </w:rPr>
      </w:pPr>
    </w:p>
    <w:p w14:paraId="34A930E9" w14:textId="77777777" w:rsidR="0026218A" w:rsidRDefault="0026218A" w:rsidP="0026218A">
      <w:pPr>
        <w:tabs>
          <w:tab w:val="left" w:pos="630"/>
        </w:tabs>
        <w:rPr>
          <w:rFonts w:ascii="Verdana" w:hAnsi="Verdana"/>
          <w:sz w:val="22"/>
          <w:szCs w:val="22"/>
        </w:rPr>
      </w:pPr>
      <w:r>
        <w:rPr>
          <w:rFonts w:ascii="Verdana" w:hAnsi="Verdana"/>
          <w:sz w:val="22"/>
          <w:szCs w:val="22"/>
        </w:rPr>
        <w:t xml:space="preserve">A skin punch biopsy (~4 mm diameter) should be collected into tissue culture medium. </w:t>
      </w:r>
    </w:p>
    <w:p w14:paraId="59C62FD6" w14:textId="77777777" w:rsidR="0026218A" w:rsidRDefault="0026218A" w:rsidP="0026218A">
      <w:pPr>
        <w:tabs>
          <w:tab w:val="left" w:pos="630"/>
        </w:tabs>
        <w:rPr>
          <w:rFonts w:ascii="Verdana" w:hAnsi="Verdana"/>
          <w:sz w:val="22"/>
          <w:szCs w:val="22"/>
        </w:rPr>
      </w:pPr>
    </w:p>
    <w:p w14:paraId="232612BD" w14:textId="77777777" w:rsidR="0026218A" w:rsidRPr="000E20BF" w:rsidRDefault="0026218A" w:rsidP="0026218A">
      <w:pPr>
        <w:tabs>
          <w:tab w:val="left" w:pos="630"/>
        </w:tabs>
        <w:rPr>
          <w:rFonts w:ascii="Verdana" w:hAnsi="Verdana"/>
          <w:sz w:val="22"/>
          <w:szCs w:val="22"/>
        </w:rPr>
      </w:pPr>
      <w:r>
        <w:rPr>
          <w:rFonts w:ascii="Verdana" w:hAnsi="Verdana"/>
          <w:sz w:val="22"/>
          <w:szCs w:val="22"/>
        </w:rPr>
        <w:t xml:space="preserve">The skin biopsy </w:t>
      </w:r>
      <w:r w:rsidRPr="00B75D97">
        <w:rPr>
          <w:rFonts w:ascii="Verdana" w:hAnsi="Verdana"/>
          <w:sz w:val="22"/>
          <w:szCs w:val="22"/>
        </w:rPr>
        <w:t xml:space="preserve">and Test Request form </w:t>
      </w:r>
      <w:r>
        <w:rPr>
          <w:rFonts w:ascii="Verdana" w:hAnsi="Verdana"/>
          <w:sz w:val="22"/>
          <w:szCs w:val="22"/>
        </w:rPr>
        <w:t xml:space="preserve">should be </w:t>
      </w:r>
      <w:r w:rsidRPr="00B75D97">
        <w:rPr>
          <w:rFonts w:ascii="Verdana" w:hAnsi="Verdana"/>
          <w:sz w:val="22"/>
          <w:szCs w:val="22"/>
        </w:rPr>
        <w:t xml:space="preserve">packaged </w:t>
      </w:r>
      <w:r>
        <w:rPr>
          <w:rFonts w:ascii="Verdana" w:hAnsi="Verdana"/>
          <w:sz w:val="22"/>
          <w:szCs w:val="22"/>
        </w:rPr>
        <w:t xml:space="preserve">in a pre-labelled sample bag </w:t>
      </w:r>
      <w:r w:rsidRPr="00B75D97">
        <w:rPr>
          <w:rFonts w:ascii="Verdana" w:hAnsi="Verdana"/>
          <w:sz w:val="22"/>
          <w:szCs w:val="22"/>
        </w:rPr>
        <w:t xml:space="preserve">and sent </w:t>
      </w:r>
      <w:r>
        <w:rPr>
          <w:rFonts w:ascii="Verdana" w:hAnsi="Verdana"/>
          <w:sz w:val="22"/>
          <w:szCs w:val="22"/>
        </w:rPr>
        <w:t xml:space="preserve">in a cool box </w:t>
      </w:r>
      <w:r w:rsidRPr="00B75D97">
        <w:rPr>
          <w:rFonts w:ascii="Verdana" w:hAnsi="Verdana"/>
          <w:sz w:val="22"/>
          <w:szCs w:val="22"/>
        </w:rPr>
        <w:t xml:space="preserve">by </w:t>
      </w:r>
      <w:r>
        <w:rPr>
          <w:rFonts w:ascii="Verdana" w:hAnsi="Verdana"/>
          <w:sz w:val="22"/>
          <w:szCs w:val="22"/>
        </w:rPr>
        <w:t>urgent courier</w:t>
      </w:r>
      <w:r w:rsidRPr="00B75D97">
        <w:rPr>
          <w:rFonts w:ascii="Verdana" w:hAnsi="Verdana"/>
          <w:sz w:val="22"/>
          <w:szCs w:val="22"/>
        </w:rPr>
        <w:t xml:space="preserve"> to:</w:t>
      </w:r>
    </w:p>
    <w:p w14:paraId="06A9A904" w14:textId="77777777" w:rsidR="0026218A" w:rsidRDefault="0026218A" w:rsidP="0026218A">
      <w:pPr>
        <w:rPr>
          <w:rFonts w:ascii="Verdana" w:hAnsi="Verdana"/>
          <w:sz w:val="22"/>
          <w:szCs w:val="22"/>
          <w:shd w:val="clear" w:color="auto" w:fill="FFFFFF"/>
          <w:lang w:eastAsia="en-US"/>
        </w:rPr>
      </w:pPr>
      <w:r w:rsidRPr="00B75D97">
        <w:rPr>
          <w:rFonts w:ascii="Verdana" w:hAnsi="Verdana"/>
          <w:sz w:val="22"/>
          <w:szCs w:val="22"/>
        </w:rPr>
        <w:t xml:space="preserve">EMEE WGS </w:t>
      </w:r>
      <w:r>
        <w:rPr>
          <w:rFonts w:ascii="Verdana" w:hAnsi="Verdana"/>
          <w:sz w:val="22"/>
          <w:szCs w:val="22"/>
        </w:rPr>
        <w:t>Cancer Germline</w:t>
      </w:r>
      <w:r w:rsidRPr="00B75D97">
        <w:rPr>
          <w:rFonts w:ascii="Verdana" w:hAnsi="Verdana"/>
          <w:sz w:val="22"/>
          <w:szCs w:val="22"/>
        </w:rPr>
        <w:t xml:space="preserve"> DNA extraction, </w:t>
      </w:r>
      <w:r>
        <w:rPr>
          <w:rFonts w:ascii="Verdana" w:hAnsi="Verdana"/>
          <w:sz w:val="22"/>
          <w:szCs w:val="22"/>
        </w:rPr>
        <w:t>Clinical Genetics Laboratory</w:t>
      </w:r>
      <w:r>
        <w:rPr>
          <w:rFonts w:ascii="Verdana" w:hAnsi="Verdana"/>
          <w:sz w:val="22"/>
          <w:szCs w:val="22"/>
          <w:shd w:val="clear" w:color="auto" w:fill="FFFFFF"/>
          <w:lang w:eastAsia="en-US"/>
        </w:rPr>
        <w:t>, Level 6</w:t>
      </w:r>
      <w:r w:rsidRPr="00B75D97">
        <w:rPr>
          <w:rFonts w:ascii="Verdana" w:hAnsi="Verdana"/>
          <w:sz w:val="22"/>
          <w:szCs w:val="22"/>
          <w:shd w:val="clear" w:color="auto" w:fill="FFFFFF"/>
          <w:lang w:eastAsia="en-US"/>
        </w:rPr>
        <w:t xml:space="preserve"> </w:t>
      </w:r>
      <w:r>
        <w:rPr>
          <w:rFonts w:ascii="Verdana" w:hAnsi="Verdana"/>
          <w:sz w:val="22"/>
          <w:szCs w:val="22"/>
          <w:shd w:val="clear" w:color="auto" w:fill="FFFFFF"/>
          <w:lang w:eastAsia="en-US"/>
        </w:rPr>
        <w:t>Addenbrooke’s Treatment Centre</w:t>
      </w:r>
      <w:r w:rsidRPr="00B75D97">
        <w:rPr>
          <w:rFonts w:ascii="Verdana" w:hAnsi="Verdana"/>
          <w:sz w:val="22"/>
          <w:szCs w:val="22"/>
          <w:shd w:val="clear" w:color="auto" w:fill="FFFFFF"/>
          <w:lang w:eastAsia="en-US"/>
        </w:rPr>
        <w:t>,</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University Hospitals NHS Foundation Trust, Hills Road,</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CB2 0QQ</w:t>
      </w:r>
      <w:r>
        <w:rPr>
          <w:rFonts w:ascii="Verdana" w:hAnsi="Verdana"/>
          <w:sz w:val="22"/>
          <w:szCs w:val="22"/>
          <w:shd w:val="clear" w:color="auto" w:fill="FFFFFF"/>
          <w:lang w:eastAsia="en-US"/>
        </w:rPr>
        <w:t>.</w:t>
      </w:r>
    </w:p>
    <w:p w14:paraId="35C5B574" w14:textId="77777777" w:rsidR="0026218A" w:rsidRPr="008002A5" w:rsidRDefault="0026218A" w:rsidP="0026218A">
      <w:pPr>
        <w:tabs>
          <w:tab w:val="left" w:pos="630"/>
        </w:tabs>
        <w:rPr>
          <w:rFonts w:ascii="Verdana" w:hAnsi="Verdana"/>
          <w:sz w:val="22"/>
          <w:szCs w:val="22"/>
        </w:rPr>
      </w:pPr>
      <w:r>
        <w:rPr>
          <w:rFonts w:ascii="Verdana" w:hAnsi="Verdana"/>
          <w:sz w:val="22"/>
          <w:szCs w:val="22"/>
        </w:rPr>
        <w:t xml:space="preserve">The Test Request form must state clearly that the biopsy is for fibroblast </w:t>
      </w:r>
      <w:r w:rsidRPr="008002A5">
        <w:rPr>
          <w:rFonts w:ascii="Verdana" w:hAnsi="Verdana"/>
          <w:sz w:val="22"/>
          <w:szCs w:val="22"/>
          <w:u w:val="single"/>
        </w:rPr>
        <w:t>culture</w:t>
      </w:r>
      <w:r>
        <w:rPr>
          <w:rFonts w:ascii="Verdana" w:hAnsi="Verdana"/>
          <w:sz w:val="22"/>
          <w:szCs w:val="22"/>
        </w:rPr>
        <w:t>.</w:t>
      </w:r>
    </w:p>
    <w:p w14:paraId="7CCEE30D" w14:textId="77777777" w:rsidR="0026218A" w:rsidRDefault="0026218A" w:rsidP="0026218A">
      <w:pPr>
        <w:tabs>
          <w:tab w:val="left" w:pos="630"/>
        </w:tabs>
        <w:rPr>
          <w:rFonts w:ascii="Verdana" w:hAnsi="Verdana"/>
          <w:b/>
          <w:sz w:val="22"/>
          <w:szCs w:val="22"/>
        </w:rPr>
      </w:pPr>
    </w:p>
    <w:p w14:paraId="27E9679B" w14:textId="77777777" w:rsidR="0026218A" w:rsidRPr="00EE40A6" w:rsidRDefault="0026218A" w:rsidP="0026218A">
      <w:pPr>
        <w:tabs>
          <w:tab w:val="left" w:pos="630"/>
        </w:tabs>
        <w:rPr>
          <w:rFonts w:ascii="Verdana" w:hAnsi="Verdana"/>
          <w:sz w:val="22"/>
          <w:szCs w:val="22"/>
        </w:rPr>
      </w:pPr>
      <w:r>
        <w:rPr>
          <w:rFonts w:ascii="Verdana" w:hAnsi="Verdana"/>
          <w:sz w:val="22"/>
          <w:szCs w:val="22"/>
        </w:rPr>
        <w:t>Skin biopsies from patients at Cambridge University Hospitals should be collected into transport medium, using the Epic order “</w:t>
      </w:r>
      <w:r w:rsidRPr="00E635E3">
        <w:rPr>
          <w:rFonts w:ascii="Verdana" w:hAnsi="Verdana"/>
          <w:sz w:val="22"/>
          <w:szCs w:val="22"/>
        </w:rPr>
        <w:t>HODS WGS GERMLINE DNA EXTRACTION [LAB8586]</w:t>
      </w:r>
      <w:r>
        <w:rPr>
          <w:rFonts w:ascii="Verdana" w:hAnsi="Verdana"/>
          <w:sz w:val="22"/>
          <w:szCs w:val="22"/>
        </w:rPr>
        <w:t>” but clearly stating in the clinical details “skin biopsy for fibroblast culture”. The sample should then be submitted to the Clinical Genetics Laboratory in the Level 6 Addenbrooke’s Treatment Centre. Note that a separate Test Request form is not needed for these internal patients.</w:t>
      </w:r>
    </w:p>
    <w:p w14:paraId="40385EC7" w14:textId="77777777" w:rsidR="0026218A" w:rsidRDefault="0026218A" w:rsidP="0026218A">
      <w:pPr>
        <w:tabs>
          <w:tab w:val="left" w:pos="630"/>
        </w:tabs>
        <w:rPr>
          <w:rFonts w:ascii="Verdana" w:hAnsi="Verdana"/>
          <w:b/>
          <w:sz w:val="22"/>
          <w:szCs w:val="22"/>
        </w:rPr>
      </w:pPr>
    </w:p>
    <w:p w14:paraId="4D98DE58" w14:textId="77777777" w:rsidR="0026218A" w:rsidRDefault="0026218A" w:rsidP="0026218A">
      <w:pPr>
        <w:tabs>
          <w:tab w:val="left" w:pos="630"/>
        </w:tabs>
        <w:rPr>
          <w:rFonts w:ascii="Verdana" w:hAnsi="Verdana"/>
          <w:b/>
          <w:sz w:val="22"/>
          <w:szCs w:val="22"/>
        </w:rPr>
      </w:pPr>
    </w:p>
    <w:p w14:paraId="7C96BEF1" w14:textId="77777777" w:rsidR="0026218A" w:rsidRDefault="0026218A" w:rsidP="0026218A">
      <w:pPr>
        <w:pStyle w:val="Heading1"/>
      </w:pPr>
      <w:bookmarkStart w:id="8" w:name="_Toc59625907"/>
      <w:r>
        <w:t>4.4</w:t>
      </w:r>
      <w:r w:rsidRPr="0033115F">
        <w:tab/>
      </w:r>
      <w:r>
        <w:t>Record of patient choice discussion</w:t>
      </w:r>
      <w:bookmarkEnd w:id="8"/>
    </w:p>
    <w:p w14:paraId="3E280FBF" w14:textId="77777777" w:rsidR="0026218A" w:rsidRDefault="0026218A" w:rsidP="0026218A">
      <w:pPr>
        <w:tabs>
          <w:tab w:val="left" w:pos="630"/>
        </w:tabs>
        <w:rPr>
          <w:rFonts w:ascii="Verdana" w:hAnsi="Verdana"/>
          <w:b/>
          <w:sz w:val="22"/>
          <w:szCs w:val="22"/>
        </w:rPr>
      </w:pPr>
    </w:p>
    <w:p w14:paraId="21F0F751" w14:textId="77777777" w:rsidR="0026218A" w:rsidRDefault="0026218A" w:rsidP="0026218A">
      <w:pPr>
        <w:tabs>
          <w:tab w:val="left" w:pos="630"/>
        </w:tabs>
        <w:rPr>
          <w:rFonts w:ascii="Verdana" w:hAnsi="Verdana"/>
          <w:sz w:val="22"/>
          <w:szCs w:val="22"/>
        </w:rPr>
      </w:pPr>
      <w:r>
        <w:rPr>
          <w:rFonts w:ascii="Verdana" w:hAnsi="Verdana"/>
          <w:sz w:val="22"/>
          <w:szCs w:val="22"/>
        </w:rPr>
        <w:t>All patients must have a discussion about the process and implications of genomic testing with an appropriately trained medical professional, enabling them to give informed consent to proceed with whole genome sequencing. This conversation will include the possible results of genomic testing, including results of uncertain significance and incidental findings; the potential implications for the patient and family members; how samples and data will be used; and the offer to participate in the National Genomic Research Library.</w:t>
      </w:r>
    </w:p>
    <w:p w14:paraId="344CAB9A" w14:textId="77777777" w:rsidR="0026218A" w:rsidRDefault="0026218A" w:rsidP="0026218A">
      <w:pPr>
        <w:tabs>
          <w:tab w:val="left" w:pos="630"/>
        </w:tabs>
        <w:rPr>
          <w:rFonts w:ascii="Verdana" w:hAnsi="Verdana"/>
          <w:sz w:val="22"/>
          <w:szCs w:val="22"/>
        </w:rPr>
      </w:pPr>
      <w:r>
        <w:rPr>
          <w:rFonts w:ascii="Verdana" w:hAnsi="Verdana"/>
          <w:sz w:val="22"/>
          <w:szCs w:val="22"/>
        </w:rPr>
        <w:t xml:space="preserve">Patients information leaflets are available online here: </w:t>
      </w:r>
      <w:hyperlink r:id="rId10" w:history="1">
        <w:r w:rsidRPr="00E24090">
          <w:rPr>
            <w:rStyle w:val="Hyperlink"/>
            <w:rFonts w:ascii="Verdana" w:hAnsi="Verdana"/>
            <w:sz w:val="22"/>
            <w:szCs w:val="22"/>
          </w:rPr>
          <w:t>https://test-selection-private.genomics.nhs.uk/test-selection</w:t>
        </w:r>
      </w:hyperlink>
    </w:p>
    <w:p w14:paraId="7C60103A" w14:textId="77777777" w:rsidR="0026218A" w:rsidRDefault="0026218A" w:rsidP="0026218A">
      <w:pPr>
        <w:tabs>
          <w:tab w:val="left" w:pos="630"/>
        </w:tabs>
        <w:rPr>
          <w:rFonts w:ascii="Verdana" w:hAnsi="Verdana"/>
          <w:b/>
          <w:sz w:val="22"/>
          <w:szCs w:val="22"/>
        </w:rPr>
      </w:pPr>
    </w:p>
    <w:p w14:paraId="0C5B86BF" w14:textId="77777777" w:rsidR="0026218A" w:rsidRDefault="0026218A" w:rsidP="0026218A">
      <w:pPr>
        <w:tabs>
          <w:tab w:val="left" w:pos="630"/>
        </w:tabs>
        <w:rPr>
          <w:rFonts w:ascii="Verdana" w:hAnsi="Verdana"/>
          <w:sz w:val="22"/>
          <w:szCs w:val="22"/>
        </w:rPr>
      </w:pPr>
      <w:r>
        <w:rPr>
          <w:rFonts w:ascii="Verdana" w:hAnsi="Verdana"/>
          <w:sz w:val="22"/>
          <w:szCs w:val="22"/>
        </w:rPr>
        <w:t xml:space="preserve">Healthcare professionals who will be leading patient choice discussions should be trained and competent to do so. Training is provided by the GLH; please contact </w:t>
      </w:r>
      <w:r w:rsidRPr="00EF7F8F">
        <w:rPr>
          <w:rFonts w:ascii="Verdana" w:hAnsi="Verdana"/>
          <w:sz w:val="22"/>
          <w:szCs w:val="22"/>
        </w:rPr>
        <w:t>emee.glh@nhs.net</w:t>
      </w:r>
      <w:r>
        <w:rPr>
          <w:rFonts w:ascii="Verdana" w:hAnsi="Verdana"/>
          <w:sz w:val="22"/>
          <w:szCs w:val="22"/>
        </w:rPr>
        <w:t xml:space="preserve"> to arrange training for yourself / your clinical team prior to requesting WGS for patients. Guidance for clinicians on areas that must be covered in the patient choice discussion has been published by NHS England and is available here: </w:t>
      </w:r>
      <w:hyperlink r:id="rId11" w:history="1">
        <w:r w:rsidRPr="00E24090">
          <w:rPr>
            <w:rStyle w:val="Hyperlink"/>
            <w:rFonts w:ascii="Verdana" w:hAnsi="Verdana"/>
            <w:sz w:val="22"/>
            <w:szCs w:val="22"/>
          </w:rPr>
          <w:t>https://www.genomicseducation.hee.nhs.uk/supporting-the-nhs-genomic-medicine-service/</w:t>
        </w:r>
      </w:hyperlink>
    </w:p>
    <w:p w14:paraId="2E4D02AA" w14:textId="77777777" w:rsidR="0026218A" w:rsidRDefault="0026218A" w:rsidP="0026218A">
      <w:pPr>
        <w:tabs>
          <w:tab w:val="left" w:pos="630"/>
        </w:tabs>
        <w:rPr>
          <w:rFonts w:ascii="Verdana" w:hAnsi="Verdana"/>
          <w:sz w:val="22"/>
          <w:szCs w:val="22"/>
        </w:rPr>
      </w:pPr>
    </w:p>
    <w:p w14:paraId="5B6BECDA" w14:textId="77777777" w:rsidR="0026218A" w:rsidRDefault="0026218A" w:rsidP="0026218A">
      <w:pPr>
        <w:tabs>
          <w:tab w:val="left" w:pos="630"/>
        </w:tabs>
        <w:rPr>
          <w:rFonts w:ascii="Verdana" w:hAnsi="Verdana"/>
          <w:sz w:val="22"/>
          <w:szCs w:val="22"/>
        </w:rPr>
      </w:pPr>
      <w:r>
        <w:rPr>
          <w:rFonts w:ascii="Verdana" w:hAnsi="Verdana"/>
          <w:sz w:val="22"/>
          <w:szCs w:val="22"/>
        </w:rPr>
        <w:t xml:space="preserve">The Record of Discussion form should be completed by the patient and healthcare professional leading the patient choice discussion, and is available here: </w:t>
      </w:r>
      <w:hyperlink r:id="rId12" w:history="1">
        <w:r w:rsidRPr="00E24090">
          <w:rPr>
            <w:rStyle w:val="Hyperlink"/>
            <w:rFonts w:ascii="Verdana" w:hAnsi="Verdana"/>
            <w:sz w:val="22"/>
            <w:szCs w:val="22"/>
          </w:rPr>
          <w:t>https://test-selection-private.genomics.nhs.uk/test-selection</w:t>
        </w:r>
      </w:hyperlink>
    </w:p>
    <w:p w14:paraId="566A50C5" w14:textId="77777777" w:rsidR="0026218A" w:rsidRDefault="0026218A" w:rsidP="0026218A">
      <w:pPr>
        <w:tabs>
          <w:tab w:val="left" w:pos="630"/>
        </w:tabs>
        <w:rPr>
          <w:rFonts w:ascii="Verdana" w:hAnsi="Verdana"/>
          <w:sz w:val="22"/>
          <w:szCs w:val="22"/>
        </w:rPr>
      </w:pPr>
      <w:r>
        <w:rPr>
          <w:rFonts w:ascii="Verdana" w:hAnsi="Verdana"/>
          <w:sz w:val="22"/>
          <w:szCs w:val="22"/>
        </w:rPr>
        <w:t>Additional forms are also available at this site for young persons assenting to testing, for withdrawal from the National Genomic Research Library, for consultees in recruitment to the National Genomic Research Library and for inclusion of a deceased person in the National Genomic Research Library.</w:t>
      </w:r>
    </w:p>
    <w:p w14:paraId="47A96CC8" w14:textId="77777777" w:rsidR="0026218A" w:rsidRDefault="0026218A" w:rsidP="0026218A">
      <w:pPr>
        <w:tabs>
          <w:tab w:val="left" w:pos="630"/>
        </w:tabs>
        <w:rPr>
          <w:rFonts w:ascii="Verdana" w:hAnsi="Verdana"/>
          <w:sz w:val="22"/>
          <w:szCs w:val="22"/>
        </w:rPr>
      </w:pPr>
    </w:p>
    <w:p w14:paraId="49BF1EFB" w14:textId="77777777" w:rsidR="0026218A" w:rsidRDefault="0026218A" w:rsidP="0026218A">
      <w:pPr>
        <w:tabs>
          <w:tab w:val="left" w:pos="630"/>
        </w:tabs>
        <w:rPr>
          <w:rFonts w:ascii="Verdana" w:hAnsi="Verdana"/>
          <w:sz w:val="22"/>
          <w:szCs w:val="22"/>
        </w:rPr>
      </w:pPr>
      <w:r>
        <w:rPr>
          <w:rFonts w:ascii="Verdana" w:hAnsi="Verdana"/>
          <w:sz w:val="22"/>
          <w:szCs w:val="22"/>
        </w:rPr>
        <w:t xml:space="preserve">In many circumstances it may be appropriate for the Record of Discussion to be completed and submitted to the GLH DNA extraction laboratory at the same time as the germline DNA sample. In this case, the Record of Discussion can be submitted in the same package as the germline sample and </w:t>
      </w:r>
      <w:r w:rsidRPr="00B75D97">
        <w:rPr>
          <w:rFonts w:ascii="Verdana" w:hAnsi="Verdana"/>
          <w:sz w:val="22"/>
          <w:szCs w:val="22"/>
        </w:rPr>
        <w:t>WGS Test Reque</w:t>
      </w:r>
      <w:r>
        <w:rPr>
          <w:rFonts w:ascii="Verdana" w:hAnsi="Verdana"/>
          <w:sz w:val="22"/>
          <w:szCs w:val="22"/>
        </w:rPr>
        <w:t>st (Cancer) form. If the Record of Discussion is submitted separately, it should be sent to:</w:t>
      </w:r>
    </w:p>
    <w:p w14:paraId="4414535B" w14:textId="77777777" w:rsidR="0026218A" w:rsidRDefault="0026218A" w:rsidP="0026218A">
      <w:pPr>
        <w:rPr>
          <w:rFonts w:ascii="Verdana" w:hAnsi="Verdana"/>
          <w:sz w:val="22"/>
          <w:szCs w:val="22"/>
          <w:shd w:val="clear" w:color="auto" w:fill="FFFFFF"/>
          <w:lang w:eastAsia="en-US"/>
        </w:rPr>
      </w:pPr>
      <w:r w:rsidRPr="00B75D97">
        <w:rPr>
          <w:rFonts w:ascii="Verdana" w:hAnsi="Verdana"/>
          <w:sz w:val="22"/>
          <w:szCs w:val="22"/>
        </w:rPr>
        <w:t xml:space="preserve">EMEE WGS </w:t>
      </w:r>
      <w:r>
        <w:rPr>
          <w:rFonts w:ascii="Verdana" w:hAnsi="Verdana"/>
          <w:sz w:val="22"/>
          <w:szCs w:val="22"/>
        </w:rPr>
        <w:t>Cancer Germline</w:t>
      </w:r>
      <w:r w:rsidRPr="00B75D97">
        <w:rPr>
          <w:rFonts w:ascii="Verdana" w:hAnsi="Verdana"/>
          <w:sz w:val="22"/>
          <w:szCs w:val="22"/>
        </w:rPr>
        <w:t xml:space="preserve"> DNA extraction, </w:t>
      </w:r>
      <w:r>
        <w:rPr>
          <w:rFonts w:ascii="Verdana" w:hAnsi="Verdana"/>
          <w:sz w:val="22"/>
          <w:szCs w:val="22"/>
        </w:rPr>
        <w:t>Clinical Genetics Laboratory</w:t>
      </w:r>
      <w:r>
        <w:rPr>
          <w:rFonts w:ascii="Verdana" w:hAnsi="Verdana"/>
          <w:sz w:val="22"/>
          <w:szCs w:val="22"/>
          <w:shd w:val="clear" w:color="auto" w:fill="FFFFFF"/>
          <w:lang w:eastAsia="en-US"/>
        </w:rPr>
        <w:t>, Level 6</w:t>
      </w:r>
      <w:r w:rsidRPr="00B75D97">
        <w:rPr>
          <w:rFonts w:ascii="Verdana" w:hAnsi="Verdana"/>
          <w:sz w:val="22"/>
          <w:szCs w:val="22"/>
          <w:shd w:val="clear" w:color="auto" w:fill="FFFFFF"/>
          <w:lang w:eastAsia="en-US"/>
        </w:rPr>
        <w:t xml:space="preserve"> </w:t>
      </w:r>
      <w:r>
        <w:rPr>
          <w:rFonts w:ascii="Verdana" w:hAnsi="Verdana"/>
          <w:sz w:val="22"/>
          <w:szCs w:val="22"/>
          <w:shd w:val="clear" w:color="auto" w:fill="FFFFFF"/>
          <w:lang w:eastAsia="en-US"/>
        </w:rPr>
        <w:t>Addenbrooke’s Treatment Centre</w:t>
      </w:r>
      <w:r w:rsidRPr="00B75D97">
        <w:rPr>
          <w:rFonts w:ascii="Verdana" w:hAnsi="Verdana"/>
          <w:sz w:val="22"/>
          <w:szCs w:val="22"/>
          <w:shd w:val="clear" w:color="auto" w:fill="FFFFFF"/>
          <w:lang w:eastAsia="en-US"/>
        </w:rPr>
        <w:t>,</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University Hospitals NHS Foundation Trust, Hills Road,</w:t>
      </w:r>
      <w:r w:rsidRPr="00B75D97">
        <w:rPr>
          <w:rFonts w:ascii="Verdana" w:hAnsi="Verdana"/>
          <w:sz w:val="22"/>
          <w:szCs w:val="22"/>
          <w:lang w:eastAsia="en-US"/>
        </w:rPr>
        <w:t xml:space="preserve"> </w:t>
      </w:r>
      <w:r w:rsidRPr="00B75D97">
        <w:rPr>
          <w:rFonts w:ascii="Verdana" w:hAnsi="Verdana"/>
          <w:sz w:val="22"/>
          <w:szCs w:val="22"/>
          <w:shd w:val="clear" w:color="auto" w:fill="FFFFFF"/>
          <w:lang w:eastAsia="en-US"/>
        </w:rPr>
        <w:t>Cambridge, CB2 0QQ</w:t>
      </w:r>
      <w:r>
        <w:rPr>
          <w:rFonts w:ascii="Verdana" w:hAnsi="Verdana"/>
          <w:sz w:val="22"/>
          <w:szCs w:val="22"/>
          <w:shd w:val="clear" w:color="auto" w:fill="FFFFFF"/>
          <w:lang w:eastAsia="en-US"/>
        </w:rPr>
        <w:t>.</w:t>
      </w:r>
    </w:p>
    <w:p w14:paraId="5ACEB189" w14:textId="77777777" w:rsidR="0026218A" w:rsidRDefault="0026218A" w:rsidP="0026218A">
      <w:pPr>
        <w:tabs>
          <w:tab w:val="left" w:pos="630"/>
        </w:tabs>
        <w:rPr>
          <w:rFonts w:ascii="Verdana" w:hAnsi="Verdana"/>
          <w:sz w:val="22"/>
          <w:szCs w:val="22"/>
        </w:rPr>
      </w:pPr>
    </w:p>
    <w:p w14:paraId="467DA8B0" w14:textId="77777777" w:rsidR="0026218A" w:rsidRPr="00EE40A6" w:rsidRDefault="0026218A" w:rsidP="0026218A">
      <w:pPr>
        <w:tabs>
          <w:tab w:val="left" w:pos="630"/>
        </w:tabs>
        <w:rPr>
          <w:rFonts w:ascii="Verdana" w:hAnsi="Verdana"/>
          <w:sz w:val="22"/>
          <w:szCs w:val="22"/>
        </w:rPr>
      </w:pPr>
      <w:r>
        <w:rPr>
          <w:rFonts w:ascii="Verdana" w:hAnsi="Verdana"/>
          <w:sz w:val="22"/>
          <w:szCs w:val="22"/>
        </w:rPr>
        <w:t>Record of Discussion forms from patients at Cambridge University Hospitals should be photocopied and a copy of the form retained in the clinical area for scanning into the Epic Media section. The original form should be submitted to the Clinical Genetics Laboratory in the Level 6 Addenbrooke’s Treatment Centre.</w:t>
      </w:r>
    </w:p>
    <w:p w14:paraId="5DBD528F" w14:textId="77777777" w:rsidR="0026218A" w:rsidRDefault="0026218A" w:rsidP="0026218A">
      <w:pPr>
        <w:tabs>
          <w:tab w:val="left" w:pos="630"/>
        </w:tabs>
        <w:rPr>
          <w:rFonts w:ascii="Verdana" w:hAnsi="Verdana"/>
          <w:sz w:val="22"/>
          <w:szCs w:val="22"/>
        </w:rPr>
      </w:pPr>
    </w:p>
    <w:p w14:paraId="431523FF" w14:textId="77777777" w:rsidR="0026218A" w:rsidRDefault="0026218A" w:rsidP="0026218A">
      <w:pPr>
        <w:tabs>
          <w:tab w:val="left" w:pos="630"/>
        </w:tabs>
        <w:rPr>
          <w:rFonts w:ascii="Verdana" w:hAnsi="Verdana"/>
          <w:sz w:val="22"/>
          <w:szCs w:val="22"/>
        </w:rPr>
      </w:pPr>
    </w:p>
    <w:p w14:paraId="1D12C4A2" w14:textId="77777777" w:rsidR="0026218A" w:rsidRPr="002564A0" w:rsidRDefault="0026218A" w:rsidP="0026218A">
      <w:pPr>
        <w:pStyle w:val="Heading1"/>
      </w:pPr>
      <w:bookmarkStart w:id="9" w:name="_Toc59625908"/>
      <w:r w:rsidRPr="007E047E">
        <w:t>4.5</w:t>
      </w:r>
      <w:r w:rsidRPr="007E047E">
        <w:tab/>
      </w:r>
      <w:r w:rsidRPr="002564A0">
        <w:t>Sample tracking</w:t>
      </w:r>
      <w:bookmarkEnd w:id="9"/>
    </w:p>
    <w:p w14:paraId="740E29E7" w14:textId="77777777" w:rsidR="0026218A" w:rsidRDefault="0026218A" w:rsidP="0026218A">
      <w:pPr>
        <w:tabs>
          <w:tab w:val="left" w:pos="630"/>
        </w:tabs>
        <w:rPr>
          <w:rFonts w:ascii="Verdana" w:hAnsi="Verdana"/>
          <w:sz w:val="22"/>
          <w:szCs w:val="22"/>
        </w:rPr>
      </w:pPr>
    </w:p>
    <w:p w14:paraId="5E6A85D1" w14:textId="77777777" w:rsidR="0026218A" w:rsidRDefault="0026218A" w:rsidP="0026218A">
      <w:pPr>
        <w:tabs>
          <w:tab w:val="left" w:pos="630"/>
        </w:tabs>
        <w:rPr>
          <w:rFonts w:ascii="Verdana" w:hAnsi="Verdana"/>
          <w:sz w:val="22"/>
          <w:szCs w:val="22"/>
        </w:rPr>
      </w:pPr>
      <w:r>
        <w:rPr>
          <w:rFonts w:ascii="Verdana" w:hAnsi="Verdana"/>
          <w:sz w:val="22"/>
          <w:szCs w:val="22"/>
        </w:rPr>
        <w:t xml:space="preserve">Once the tumour sample is booked in for DNA extraction in the Cambridge laboratory, the Cambridge LIMS system (Epic) will reflex an automated message via nhs mail to the referring clinician and the referring SIHMDS detailing that a tumour sample has been received. This message serves to notify the clinician that a germline sample and record of Discussion are now required for WGS to proceed. </w:t>
      </w:r>
    </w:p>
    <w:p w14:paraId="379C895B" w14:textId="77777777" w:rsidR="0026218A" w:rsidRDefault="0026218A" w:rsidP="0026218A">
      <w:pPr>
        <w:tabs>
          <w:tab w:val="left" w:pos="630"/>
        </w:tabs>
        <w:rPr>
          <w:rFonts w:ascii="Verdana" w:hAnsi="Verdana"/>
          <w:sz w:val="22"/>
          <w:szCs w:val="22"/>
        </w:rPr>
      </w:pPr>
    </w:p>
    <w:p w14:paraId="0B4E2727" w14:textId="77777777" w:rsidR="0026218A" w:rsidRDefault="0026218A" w:rsidP="0026218A">
      <w:pPr>
        <w:tabs>
          <w:tab w:val="left" w:pos="630"/>
        </w:tabs>
        <w:rPr>
          <w:rFonts w:ascii="Verdana" w:hAnsi="Verdana"/>
          <w:sz w:val="22"/>
          <w:szCs w:val="22"/>
        </w:rPr>
      </w:pPr>
      <w:r>
        <w:rPr>
          <w:rFonts w:ascii="Verdana" w:hAnsi="Verdana"/>
          <w:sz w:val="22"/>
          <w:szCs w:val="22"/>
        </w:rPr>
        <w:t xml:space="preserve">If the extracted DNA for the tumour or germline sample fails to meet the quality control parameters required to proceed with WGS, an Epic message will be sent to the referring SIHMDS and/or clinician requesting a new sample, if available. </w:t>
      </w:r>
    </w:p>
    <w:p w14:paraId="5040B465" w14:textId="77777777" w:rsidR="0026218A" w:rsidRDefault="0026218A" w:rsidP="0026218A">
      <w:pPr>
        <w:tabs>
          <w:tab w:val="left" w:pos="630"/>
        </w:tabs>
        <w:rPr>
          <w:rFonts w:ascii="Verdana" w:hAnsi="Verdana"/>
          <w:sz w:val="22"/>
          <w:szCs w:val="22"/>
        </w:rPr>
      </w:pPr>
    </w:p>
    <w:p w14:paraId="5D556D7E" w14:textId="77777777" w:rsidR="0026218A" w:rsidRDefault="0026218A" w:rsidP="0026218A">
      <w:pPr>
        <w:tabs>
          <w:tab w:val="left" w:pos="630"/>
        </w:tabs>
        <w:rPr>
          <w:rFonts w:ascii="Verdana" w:hAnsi="Verdana"/>
          <w:sz w:val="22"/>
          <w:szCs w:val="22"/>
        </w:rPr>
      </w:pPr>
      <w:r>
        <w:rPr>
          <w:rFonts w:ascii="Verdana" w:hAnsi="Verdana"/>
          <w:sz w:val="22"/>
          <w:szCs w:val="22"/>
        </w:rPr>
        <w:t>Once both tumour and germline samples have passed QC and the Record of Discussion has been received, DNA will be sent to the GLH plating laboratory followed by sequencing. An Epic message will be sent to inform the SIHMDS and referring clinician that WGS is in process.</w:t>
      </w:r>
    </w:p>
    <w:p w14:paraId="31565CB5" w14:textId="77777777" w:rsidR="0026218A" w:rsidRDefault="0026218A" w:rsidP="0026218A">
      <w:pPr>
        <w:tabs>
          <w:tab w:val="left" w:pos="630"/>
        </w:tabs>
        <w:rPr>
          <w:rFonts w:ascii="Verdana" w:hAnsi="Verdana"/>
          <w:sz w:val="22"/>
          <w:szCs w:val="22"/>
        </w:rPr>
      </w:pPr>
    </w:p>
    <w:p w14:paraId="592F4EBD" w14:textId="77777777" w:rsidR="0026218A" w:rsidRDefault="0026218A" w:rsidP="0026218A">
      <w:pPr>
        <w:tabs>
          <w:tab w:val="left" w:pos="630"/>
        </w:tabs>
        <w:rPr>
          <w:rFonts w:ascii="Verdana" w:hAnsi="Verdana"/>
          <w:sz w:val="22"/>
          <w:szCs w:val="22"/>
        </w:rPr>
      </w:pPr>
      <w:r>
        <w:rPr>
          <w:rFonts w:ascii="Verdana" w:hAnsi="Verdana"/>
          <w:sz w:val="22"/>
          <w:szCs w:val="22"/>
        </w:rPr>
        <w:t xml:space="preserve">If at any stage it become apparent that it will not be possible to proceed with WGS, for example because the patient does not wish to undergo testing or because an appropriate germline sample cannot be obtained, please email </w:t>
      </w:r>
      <w:r w:rsidRPr="00EF7F8F">
        <w:rPr>
          <w:rFonts w:ascii="Verdana" w:hAnsi="Verdana"/>
          <w:sz w:val="22"/>
          <w:szCs w:val="22"/>
          <w:shd w:val="clear" w:color="auto" w:fill="FFFFFF"/>
        </w:rPr>
        <w:t>emee.glh@nhs.net</w:t>
      </w:r>
      <w:r>
        <w:rPr>
          <w:rFonts w:ascii="Verdana" w:hAnsi="Verdana"/>
          <w:sz w:val="22"/>
          <w:szCs w:val="22"/>
        </w:rPr>
        <w:t xml:space="preserve"> with clear clinical details so that the case can be closed and no further samples will be requested. </w:t>
      </w:r>
    </w:p>
    <w:p w14:paraId="06EC9157" w14:textId="77777777" w:rsidR="0026218A" w:rsidRDefault="0026218A" w:rsidP="0026218A">
      <w:pPr>
        <w:tabs>
          <w:tab w:val="left" w:pos="630"/>
        </w:tabs>
        <w:rPr>
          <w:rFonts w:ascii="Verdana" w:hAnsi="Verdana"/>
          <w:sz w:val="22"/>
          <w:szCs w:val="22"/>
        </w:rPr>
      </w:pPr>
    </w:p>
    <w:p w14:paraId="3C906091" w14:textId="77777777" w:rsidR="0026218A" w:rsidRDefault="0026218A" w:rsidP="0026218A">
      <w:pPr>
        <w:tabs>
          <w:tab w:val="left" w:pos="630"/>
        </w:tabs>
        <w:rPr>
          <w:rFonts w:ascii="Verdana" w:hAnsi="Verdana"/>
          <w:sz w:val="22"/>
          <w:szCs w:val="22"/>
        </w:rPr>
      </w:pPr>
    </w:p>
    <w:p w14:paraId="09D569BB" w14:textId="77777777" w:rsidR="0026218A" w:rsidRPr="007E047E" w:rsidRDefault="0026218A" w:rsidP="0026218A">
      <w:pPr>
        <w:pStyle w:val="Heading1"/>
      </w:pPr>
      <w:bookmarkStart w:id="10" w:name="_Toc59625909"/>
      <w:r w:rsidRPr="007E047E">
        <w:t xml:space="preserve">4.6 </w:t>
      </w:r>
      <w:r w:rsidRPr="007E047E">
        <w:tab/>
        <w:t>Return of WGS reports</w:t>
      </w:r>
      <w:r>
        <w:t xml:space="preserve"> and MDT discussion</w:t>
      </w:r>
      <w:bookmarkEnd w:id="10"/>
    </w:p>
    <w:p w14:paraId="5B45D03F" w14:textId="77777777" w:rsidR="0026218A" w:rsidRDefault="0026218A" w:rsidP="0026218A">
      <w:pPr>
        <w:tabs>
          <w:tab w:val="left" w:pos="630"/>
        </w:tabs>
        <w:rPr>
          <w:rFonts w:ascii="Verdana" w:hAnsi="Verdana"/>
          <w:sz w:val="22"/>
          <w:szCs w:val="22"/>
        </w:rPr>
      </w:pPr>
    </w:p>
    <w:p w14:paraId="2052EC43" w14:textId="77777777" w:rsidR="0026218A" w:rsidRDefault="0026218A" w:rsidP="0026218A">
      <w:pPr>
        <w:tabs>
          <w:tab w:val="left" w:pos="630"/>
        </w:tabs>
        <w:rPr>
          <w:rFonts w:ascii="Verdana" w:hAnsi="Verdana"/>
          <w:sz w:val="22"/>
          <w:szCs w:val="22"/>
        </w:rPr>
      </w:pPr>
      <w:r>
        <w:rPr>
          <w:rFonts w:ascii="Verdana" w:hAnsi="Verdana"/>
          <w:sz w:val="22"/>
          <w:szCs w:val="22"/>
        </w:rPr>
        <w:t>Following return of the WGS analysis results on the Genomics England Interpretation Portal, the EMEE GLH scientific team will perform a further analysis and prepare a preliminary report. In most cases it is expected that this would be discussed in the EMEE haemato-oncology genomics tumour advisory board and verified following discussion in the meeting. The EHOGTAB aims to facilitate interpretation of the WGS data in the light of clinical information, to agree whether any further validation of variants is required and in some cases to make recommendations about germline variants. It is not intended that the GTAB will make comprehensive recommendations about clinical management, but rather that these discussions would remain within existing disease-specific regional management MDTs, supported by SIHMDS and clinical representatives who attended the GTAB.</w:t>
      </w:r>
    </w:p>
    <w:p w14:paraId="283E84FB" w14:textId="77777777" w:rsidR="0026218A" w:rsidRDefault="0026218A" w:rsidP="0026218A">
      <w:pPr>
        <w:tabs>
          <w:tab w:val="left" w:pos="630"/>
        </w:tabs>
        <w:rPr>
          <w:rFonts w:ascii="Verdana" w:hAnsi="Verdana"/>
          <w:sz w:val="22"/>
          <w:szCs w:val="22"/>
        </w:rPr>
      </w:pPr>
    </w:p>
    <w:p w14:paraId="01806555" w14:textId="77777777" w:rsidR="0026218A" w:rsidRDefault="0026218A" w:rsidP="0026218A">
      <w:pPr>
        <w:tabs>
          <w:tab w:val="left" w:pos="630"/>
        </w:tabs>
        <w:rPr>
          <w:rFonts w:ascii="Verdana" w:hAnsi="Verdana"/>
          <w:sz w:val="22"/>
          <w:szCs w:val="22"/>
        </w:rPr>
      </w:pPr>
      <w:r>
        <w:rPr>
          <w:rFonts w:ascii="Verdana" w:hAnsi="Verdana"/>
          <w:sz w:val="22"/>
          <w:szCs w:val="22"/>
        </w:rPr>
        <w:t xml:space="preserve">The WGS report, which includes the GTAB outcome, will be dispatched as a PDF by nhs mail to the referring clinician and SIHMDS. Each SIHMDS service also has access to the primary report within Epic so as to facilitate integrated reporting. </w:t>
      </w:r>
    </w:p>
    <w:p w14:paraId="189D40BA" w14:textId="77777777" w:rsidR="005F4109" w:rsidRPr="002722D1" w:rsidRDefault="005F4109" w:rsidP="005F4109">
      <w:pPr>
        <w:pStyle w:val="NoSpacing"/>
        <w:tabs>
          <w:tab w:val="left" w:pos="0"/>
        </w:tabs>
        <w:jc w:val="both"/>
        <w:rPr>
          <w:rFonts w:ascii="Verdana" w:hAnsi="Verdana" w:cstheme="minorHAnsi"/>
          <w:sz w:val="22"/>
          <w:szCs w:val="22"/>
        </w:rPr>
      </w:pPr>
    </w:p>
    <w:p w14:paraId="2CD2D3D6" w14:textId="77777777" w:rsidR="005F4109" w:rsidRPr="002722D1" w:rsidRDefault="005F4109" w:rsidP="00800DC0">
      <w:pPr>
        <w:pStyle w:val="Heading1"/>
      </w:pPr>
      <w:bookmarkStart w:id="11" w:name="_Toc59625910"/>
      <w:r w:rsidRPr="002722D1">
        <w:t>5.0 References</w:t>
      </w:r>
      <w:bookmarkEnd w:id="11"/>
    </w:p>
    <w:p w14:paraId="0848A1B2" w14:textId="77777777" w:rsidR="0026218A" w:rsidRDefault="0026218A" w:rsidP="0026218A">
      <w:pPr>
        <w:rPr>
          <w:rFonts w:ascii="Verdana" w:hAnsi="Verdana"/>
          <w:sz w:val="22"/>
          <w:szCs w:val="22"/>
        </w:rPr>
      </w:pPr>
    </w:p>
    <w:p w14:paraId="534E9C7D" w14:textId="77777777" w:rsidR="0026218A" w:rsidRPr="00145D76" w:rsidRDefault="0026218A" w:rsidP="0026218A">
      <w:pPr>
        <w:rPr>
          <w:rFonts w:ascii="Verdana" w:hAnsi="Verdana"/>
          <w:sz w:val="22"/>
          <w:szCs w:val="22"/>
        </w:rPr>
      </w:pPr>
      <w:r w:rsidRPr="00B75D97">
        <w:rPr>
          <w:rFonts w:ascii="Verdana" w:hAnsi="Verdana"/>
          <w:sz w:val="22"/>
          <w:szCs w:val="22"/>
        </w:rPr>
        <w:t xml:space="preserve">1. Swerdlow, S. H. et al. (eds). WHO classification of Tumours of Haematopoietic and Lymphoid </w:t>
      </w:r>
      <w:r w:rsidRPr="00145D76">
        <w:rPr>
          <w:rFonts w:ascii="Verdana" w:hAnsi="Verdana"/>
          <w:sz w:val="22"/>
          <w:szCs w:val="22"/>
        </w:rPr>
        <w:t>Tissues. 4th edition, (International Agency for Research on Cancer, Lyon, France, 2017).</w:t>
      </w:r>
    </w:p>
    <w:p w14:paraId="09D64B25" w14:textId="77777777" w:rsidR="0026218A" w:rsidRPr="00145D76" w:rsidRDefault="0026218A" w:rsidP="0026218A">
      <w:pPr>
        <w:tabs>
          <w:tab w:val="left" w:pos="630"/>
        </w:tabs>
        <w:rPr>
          <w:rFonts w:ascii="Verdana" w:hAnsi="Verdana"/>
          <w:sz w:val="22"/>
          <w:szCs w:val="22"/>
        </w:rPr>
      </w:pPr>
    </w:p>
    <w:p w14:paraId="7D0D74D9" w14:textId="77777777" w:rsidR="0026218A" w:rsidRPr="00145D76" w:rsidRDefault="0026218A" w:rsidP="0026218A">
      <w:pPr>
        <w:tabs>
          <w:tab w:val="left" w:pos="630"/>
        </w:tabs>
        <w:rPr>
          <w:rFonts w:ascii="Verdana" w:hAnsi="Verdana"/>
          <w:sz w:val="22"/>
          <w:szCs w:val="22"/>
        </w:rPr>
      </w:pPr>
      <w:r w:rsidRPr="00145D76">
        <w:rPr>
          <w:rFonts w:ascii="Verdana" w:hAnsi="Verdana"/>
          <w:sz w:val="22"/>
          <w:szCs w:val="22"/>
        </w:rPr>
        <w:t>2. Sample handling guidance for whole genome sequencing o</w:t>
      </w:r>
      <w:r>
        <w:rPr>
          <w:rFonts w:ascii="Verdana" w:hAnsi="Verdana"/>
          <w:sz w:val="22"/>
          <w:szCs w:val="22"/>
        </w:rPr>
        <w:t>f haematological malignancies v3.0</w:t>
      </w:r>
      <w:r w:rsidRPr="00145D76">
        <w:rPr>
          <w:rFonts w:ascii="Verdana" w:hAnsi="Verdana"/>
          <w:sz w:val="22"/>
          <w:szCs w:val="22"/>
        </w:rPr>
        <w:t xml:space="preserve">. NHS England </w:t>
      </w:r>
      <w:r>
        <w:rPr>
          <w:rFonts w:ascii="Verdana" w:hAnsi="Verdana"/>
          <w:sz w:val="22"/>
          <w:szCs w:val="22"/>
        </w:rPr>
        <w:t>August</w:t>
      </w:r>
      <w:r w:rsidRPr="00145D76">
        <w:rPr>
          <w:rFonts w:ascii="Verdana" w:hAnsi="Verdana"/>
          <w:sz w:val="22"/>
          <w:szCs w:val="22"/>
        </w:rPr>
        <w:t xml:space="preserve"> 2019</w:t>
      </w:r>
    </w:p>
    <w:p w14:paraId="2F15865F" w14:textId="77777777" w:rsidR="005F4109" w:rsidRPr="002722D1" w:rsidRDefault="005F4109" w:rsidP="005F4109">
      <w:pPr>
        <w:pStyle w:val="NoSpacing"/>
        <w:tabs>
          <w:tab w:val="left" w:pos="0"/>
        </w:tabs>
        <w:jc w:val="both"/>
        <w:rPr>
          <w:rFonts w:ascii="Verdana" w:hAnsi="Verdana" w:cstheme="minorHAnsi"/>
          <w:sz w:val="22"/>
          <w:szCs w:val="22"/>
        </w:rPr>
      </w:pPr>
      <w:r w:rsidRPr="002722D1">
        <w:rPr>
          <w:rFonts w:ascii="Verdana" w:hAnsi="Verdana" w:cstheme="minorHAnsi"/>
          <w:sz w:val="22"/>
          <w:szCs w:val="22"/>
        </w:rPr>
        <w:tab/>
      </w:r>
    </w:p>
    <w:p w14:paraId="4F556F75" w14:textId="77777777" w:rsidR="005F4109" w:rsidRDefault="005F4109" w:rsidP="005F4109">
      <w:pPr>
        <w:pStyle w:val="NoSpacing"/>
        <w:tabs>
          <w:tab w:val="left" w:pos="0"/>
        </w:tabs>
        <w:jc w:val="both"/>
        <w:rPr>
          <w:rFonts w:ascii="Verdana" w:hAnsi="Verdana" w:cstheme="minorHAnsi"/>
          <w:sz w:val="22"/>
          <w:szCs w:val="22"/>
        </w:rPr>
      </w:pPr>
    </w:p>
    <w:p w14:paraId="1BA1CC33" w14:textId="77777777" w:rsidR="005F4109" w:rsidRPr="005A0966" w:rsidRDefault="005F4109" w:rsidP="00800DC0">
      <w:pPr>
        <w:pStyle w:val="Heading1"/>
      </w:pPr>
      <w:bookmarkStart w:id="12" w:name="_Toc59625911"/>
      <w:r w:rsidRPr="005A0966">
        <w:t>6.0 Related Documents</w:t>
      </w:r>
      <w:bookmarkEnd w:id="12"/>
    </w:p>
    <w:p w14:paraId="29237B33" w14:textId="77777777" w:rsidR="005F4109" w:rsidRDefault="005F4109" w:rsidP="005F4109">
      <w:pPr>
        <w:pStyle w:val="NoSpacing"/>
        <w:tabs>
          <w:tab w:val="left" w:pos="0"/>
        </w:tabs>
        <w:jc w:val="both"/>
        <w:rPr>
          <w:rFonts w:ascii="Verdana" w:hAnsi="Verdana" w:cstheme="minorHAnsi"/>
          <w:sz w:val="22"/>
          <w:szCs w:val="22"/>
        </w:rPr>
      </w:pPr>
    </w:p>
    <w:p w14:paraId="656FDCB0" w14:textId="0F724087" w:rsidR="0026218A" w:rsidRPr="002722D1" w:rsidRDefault="0026218A" w:rsidP="005F4109">
      <w:pPr>
        <w:pStyle w:val="NoSpacing"/>
        <w:tabs>
          <w:tab w:val="left" w:pos="0"/>
        </w:tabs>
        <w:jc w:val="both"/>
        <w:rPr>
          <w:rFonts w:ascii="Verdana" w:hAnsi="Verdana" w:cstheme="minorHAnsi"/>
          <w:sz w:val="22"/>
          <w:szCs w:val="22"/>
        </w:rPr>
      </w:pPr>
      <w:r>
        <w:rPr>
          <w:rFonts w:ascii="Verdana" w:hAnsi="Verdana" w:cstheme="minorHAnsi"/>
          <w:sz w:val="22"/>
          <w:szCs w:val="22"/>
        </w:rPr>
        <w:t>N/A</w:t>
      </w:r>
    </w:p>
    <w:p w14:paraId="3B76142A" w14:textId="77777777" w:rsidR="005F4109" w:rsidRDefault="005F4109" w:rsidP="005F4109">
      <w:pPr>
        <w:pStyle w:val="NoSpacing"/>
        <w:tabs>
          <w:tab w:val="left" w:pos="0"/>
        </w:tabs>
        <w:jc w:val="both"/>
        <w:rPr>
          <w:rFonts w:ascii="Verdana" w:hAnsi="Verdana" w:cstheme="minorHAnsi"/>
          <w:sz w:val="22"/>
          <w:szCs w:val="22"/>
        </w:rPr>
      </w:pPr>
    </w:p>
    <w:p w14:paraId="3BF05B16" w14:textId="77777777" w:rsidR="005F4109" w:rsidRDefault="005F4109" w:rsidP="00800DC0">
      <w:pPr>
        <w:pStyle w:val="Heading1"/>
      </w:pPr>
      <w:bookmarkStart w:id="13" w:name="_Toc59625912"/>
      <w:r w:rsidRPr="005A0966">
        <w:t>7.0 Monitoring compliance with and</w:t>
      </w:r>
      <w:r>
        <w:t xml:space="preserve"> the effectiveness of </w:t>
      </w:r>
      <w:r w:rsidRPr="005A0966">
        <w:t>this document</w:t>
      </w:r>
      <w:bookmarkEnd w:id="13"/>
    </w:p>
    <w:p w14:paraId="0EE32DF1" w14:textId="77777777" w:rsidR="005F4109" w:rsidRDefault="005F4109" w:rsidP="005F4109">
      <w:pPr>
        <w:pStyle w:val="NoSpacing"/>
        <w:tabs>
          <w:tab w:val="left" w:pos="0"/>
        </w:tabs>
        <w:jc w:val="both"/>
        <w:rPr>
          <w:rFonts w:ascii="Verdana" w:hAnsi="Verdana" w:cstheme="minorHAnsi"/>
          <w:b/>
          <w:sz w:val="22"/>
          <w:szCs w:val="22"/>
        </w:rPr>
      </w:pPr>
    </w:p>
    <w:p w14:paraId="3C662CF3" w14:textId="77777777" w:rsidR="005F4109" w:rsidRPr="005F4109" w:rsidRDefault="005F4109" w:rsidP="005F4109">
      <w:pPr>
        <w:pStyle w:val="NoSpacing"/>
        <w:tabs>
          <w:tab w:val="left" w:pos="0"/>
        </w:tabs>
        <w:jc w:val="both"/>
        <w:rPr>
          <w:rFonts w:ascii="Verdana" w:hAnsi="Verdana"/>
          <w:sz w:val="22"/>
        </w:rPr>
      </w:pPr>
      <w:r w:rsidRPr="005F4109">
        <w:rPr>
          <w:rFonts w:ascii="Verdana" w:hAnsi="Verdana"/>
          <w:sz w:val="22"/>
        </w:rPr>
        <w:t>This process forms part of a quality system accredited to International Standard ISO 15189:2012. The effectiveness of the process will be monitored in accordance with the methods given in the Quality Manual</w:t>
      </w:r>
    </w:p>
    <w:p w14:paraId="36D73B2C" w14:textId="74FF8F18" w:rsidR="005F4109" w:rsidRDefault="005F4109" w:rsidP="005F4109">
      <w:pPr>
        <w:rPr>
          <w:rFonts w:ascii="Verdana" w:hAnsi="Verdana"/>
        </w:rPr>
      </w:pPr>
    </w:p>
    <w:p w14:paraId="704BC8F1" w14:textId="77777777" w:rsidR="0026218A" w:rsidRPr="005F4109" w:rsidRDefault="0026218A" w:rsidP="0026218A">
      <w:pPr>
        <w:rPr>
          <w:rFonts w:ascii="Verdana" w:hAnsi="Verdana"/>
          <w:b/>
          <w:sz w:val="22"/>
        </w:rPr>
      </w:pPr>
      <w:r w:rsidRPr="005F4109">
        <w:rPr>
          <w:rFonts w:ascii="Verdana" w:hAnsi="Verdana"/>
          <w:b/>
          <w:sz w:val="22"/>
        </w:rPr>
        <w:t>Equality and diversity statement</w:t>
      </w:r>
    </w:p>
    <w:p w14:paraId="2668BEA3" w14:textId="77777777" w:rsidR="0026218A" w:rsidRPr="005F4109" w:rsidRDefault="0026218A" w:rsidP="0026218A">
      <w:pPr>
        <w:rPr>
          <w:rFonts w:ascii="Verdana" w:hAnsi="Verdana"/>
          <w:b/>
          <w:sz w:val="22"/>
        </w:rPr>
      </w:pPr>
    </w:p>
    <w:p w14:paraId="1B663B13" w14:textId="77777777" w:rsidR="0026218A" w:rsidRPr="005F4109" w:rsidRDefault="0026218A" w:rsidP="0026218A">
      <w:pPr>
        <w:rPr>
          <w:rFonts w:ascii="Verdana" w:hAnsi="Verdana"/>
          <w:sz w:val="22"/>
        </w:rPr>
      </w:pPr>
      <w:r w:rsidRPr="005F4109">
        <w:rPr>
          <w:rFonts w:ascii="Verdana" w:hAnsi="Verdana"/>
          <w:sz w:val="22"/>
        </w:rPr>
        <w:t>This document complies with the Cambridge University Hospitals NHS Foundation Trust service equality and diversity statement.</w:t>
      </w:r>
    </w:p>
    <w:p w14:paraId="3BF502CC" w14:textId="77777777" w:rsidR="0026218A" w:rsidRPr="005F4109" w:rsidRDefault="0026218A" w:rsidP="0026218A">
      <w:pPr>
        <w:rPr>
          <w:rFonts w:ascii="Verdana" w:hAnsi="Verdana"/>
          <w:sz w:val="22"/>
        </w:rPr>
      </w:pPr>
    </w:p>
    <w:p w14:paraId="41791D1B" w14:textId="77777777" w:rsidR="0026218A" w:rsidRPr="005F4109" w:rsidRDefault="0026218A" w:rsidP="0026218A">
      <w:pPr>
        <w:rPr>
          <w:rFonts w:ascii="Verdana" w:hAnsi="Verdana"/>
          <w:b/>
          <w:sz w:val="22"/>
        </w:rPr>
      </w:pPr>
      <w:r w:rsidRPr="005F4109">
        <w:rPr>
          <w:rFonts w:ascii="Verdana" w:hAnsi="Verdana"/>
          <w:b/>
          <w:sz w:val="22"/>
        </w:rPr>
        <w:t>Disclaimer</w:t>
      </w:r>
    </w:p>
    <w:p w14:paraId="5E5E7C35" w14:textId="77777777" w:rsidR="0026218A" w:rsidRPr="005F4109" w:rsidRDefault="0026218A" w:rsidP="0026218A">
      <w:pPr>
        <w:rPr>
          <w:rFonts w:ascii="Verdana" w:hAnsi="Verdana"/>
          <w:b/>
          <w:sz w:val="22"/>
        </w:rPr>
      </w:pPr>
    </w:p>
    <w:p w14:paraId="69CFF091" w14:textId="77777777" w:rsidR="0026218A" w:rsidRPr="005F4109" w:rsidRDefault="0026218A" w:rsidP="0026218A">
      <w:pPr>
        <w:rPr>
          <w:rFonts w:ascii="Verdana" w:hAnsi="Verdana"/>
          <w:sz w:val="22"/>
        </w:rPr>
      </w:pPr>
      <w:r w:rsidRPr="005F4109">
        <w:rPr>
          <w:rFonts w:ascii="Verdana" w:hAnsi="Verdana"/>
          <w:sz w:val="22"/>
        </w:rPr>
        <w:t>It is your responsibility to check against the electronic library that this printed out copy is the most recent issue of this document. For full approval history of documentation please see relevant Q-Pulse record.</w:t>
      </w:r>
    </w:p>
    <w:p w14:paraId="5626A326" w14:textId="77777777" w:rsidR="0026218A" w:rsidRDefault="0026218A">
      <w:pPr>
        <w:rPr>
          <w:rFonts w:ascii="Verdana" w:hAnsi="Verdana"/>
          <w:b/>
          <w:sz w:val="22"/>
          <w:szCs w:val="22"/>
        </w:rPr>
      </w:pPr>
      <w:r>
        <w:rPr>
          <w:rFonts w:ascii="Verdana" w:hAnsi="Verdana"/>
          <w:b/>
          <w:sz w:val="22"/>
          <w:szCs w:val="22"/>
        </w:rPr>
        <w:br w:type="page"/>
      </w:r>
    </w:p>
    <w:p w14:paraId="234DC604" w14:textId="77777777" w:rsidR="0026218A" w:rsidRDefault="0026218A" w:rsidP="0026218A">
      <w:pPr>
        <w:tabs>
          <w:tab w:val="left" w:pos="630"/>
        </w:tabs>
        <w:rPr>
          <w:rFonts w:ascii="Verdana" w:hAnsi="Verdana"/>
          <w:b/>
          <w:sz w:val="22"/>
          <w:szCs w:val="22"/>
        </w:rPr>
      </w:pPr>
    </w:p>
    <w:p w14:paraId="7E3C54A7" w14:textId="0520CB5F" w:rsidR="0026218A" w:rsidRDefault="0026218A" w:rsidP="0026218A">
      <w:pPr>
        <w:tabs>
          <w:tab w:val="left" w:pos="630"/>
        </w:tabs>
        <w:rPr>
          <w:rFonts w:ascii="Verdana" w:hAnsi="Verdana"/>
          <w:b/>
          <w:sz w:val="22"/>
          <w:szCs w:val="22"/>
        </w:rPr>
      </w:pPr>
      <w:r w:rsidRPr="00990793">
        <w:rPr>
          <w:rFonts w:ascii="Verdana" w:hAnsi="Verdana"/>
          <w:b/>
          <w:sz w:val="22"/>
          <w:szCs w:val="22"/>
        </w:rPr>
        <w:t>Figure 1. WGS pathway for patients with acute leukaemia</w:t>
      </w:r>
    </w:p>
    <w:p w14:paraId="6B8895BC" w14:textId="77777777" w:rsidR="0026218A" w:rsidRDefault="0026218A" w:rsidP="0026218A">
      <w:pPr>
        <w:rPr>
          <w:rFonts w:ascii="Verdana" w:hAnsi="Verdana"/>
          <w:b/>
          <w:noProof/>
          <w:sz w:val="22"/>
          <w:szCs w:val="22"/>
          <w:lang w:val="en-US" w:eastAsia="en-US"/>
        </w:rPr>
      </w:pPr>
    </w:p>
    <w:p w14:paraId="71E54302" w14:textId="77777777" w:rsidR="0026218A" w:rsidRDefault="0026218A" w:rsidP="0026218A">
      <w:pPr>
        <w:tabs>
          <w:tab w:val="left" w:pos="630"/>
        </w:tabs>
        <w:rPr>
          <w:rFonts w:ascii="Verdana" w:hAnsi="Verdana"/>
          <w:b/>
          <w:sz w:val="22"/>
          <w:szCs w:val="22"/>
        </w:rPr>
      </w:pPr>
      <w:r>
        <w:rPr>
          <w:rFonts w:ascii="Verdana" w:hAnsi="Verdana"/>
          <w:b/>
          <w:noProof/>
          <w:sz w:val="22"/>
          <w:szCs w:val="22"/>
        </w:rPr>
        <w:drawing>
          <wp:inline distT="0" distB="0" distL="0" distR="0" wp14:anchorId="605D8996" wp14:editId="7F74289D">
            <wp:extent cx="6261100" cy="6184900"/>
            <wp:effectExtent l="0" t="0" r="12700" b="12700"/>
            <wp:docPr id="4" name="Picture 4" descr="Macintosh HD:Users:annapozo:Desktop:Dropbox:Genomics recommissioning:WGS:Clinical guideline:Pathway for clinical guid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pozo:Desktop:Dropbox:Genomics recommissioning:WGS:Clinical guideline:Pathway for clinical guideline.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309" b="16292"/>
                    <a:stretch/>
                  </pic:blipFill>
                  <pic:spPr bwMode="auto">
                    <a:xfrm>
                      <a:off x="0" y="0"/>
                      <a:ext cx="6261100" cy="6184900"/>
                    </a:xfrm>
                    <a:prstGeom prst="rect">
                      <a:avLst/>
                    </a:prstGeom>
                    <a:noFill/>
                    <a:ln>
                      <a:noFill/>
                    </a:ln>
                    <a:extLst>
                      <a:ext uri="{53640926-AAD7-44D8-BBD7-CCE9431645EC}">
                        <a14:shadowObscured xmlns:a14="http://schemas.microsoft.com/office/drawing/2010/main"/>
                      </a:ext>
                    </a:extLst>
                  </pic:spPr>
                </pic:pic>
              </a:graphicData>
            </a:graphic>
          </wp:inline>
        </w:drawing>
      </w:r>
    </w:p>
    <w:p w14:paraId="03488B5B" w14:textId="77777777" w:rsidR="0026218A" w:rsidRDefault="0026218A" w:rsidP="0026218A">
      <w:pPr>
        <w:rPr>
          <w:rFonts w:ascii="Verdana" w:hAnsi="Verdana"/>
          <w:sz w:val="22"/>
          <w:szCs w:val="22"/>
        </w:rPr>
      </w:pPr>
    </w:p>
    <w:p w14:paraId="1116DDA1" w14:textId="77777777" w:rsidR="0026218A" w:rsidRDefault="0026218A" w:rsidP="0026218A">
      <w:pPr>
        <w:rPr>
          <w:rFonts w:ascii="Verdana" w:hAnsi="Verdana"/>
          <w:sz w:val="22"/>
          <w:szCs w:val="22"/>
        </w:rPr>
      </w:pPr>
    </w:p>
    <w:p w14:paraId="35412C7A" w14:textId="77777777" w:rsidR="0026218A" w:rsidRDefault="0026218A" w:rsidP="0026218A">
      <w:pPr>
        <w:rPr>
          <w:rFonts w:ascii="Verdana" w:hAnsi="Verdana"/>
          <w:sz w:val="22"/>
          <w:szCs w:val="22"/>
        </w:rPr>
      </w:pPr>
    </w:p>
    <w:p w14:paraId="20541DA3" w14:textId="77777777" w:rsidR="0026218A" w:rsidRDefault="0026218A" w:rsidP="0026218A">
      <w:pPr>
        <w:rPr>
          <w:rFonts w:ascii="Verdana" w:hAnsi="Verdana"/>
          <w:sz w:val="22"/>
          <w:szCs w:val="22"/>
        </w:rPr>
      </w:pPr>
      <w:r>
        <w:rPr>
          <w:rFonts w:ascii="Verdana" w:hAnsi="Verdana"/>
          <w:sz w:val="22"/>
          <w:szCs w:val="22"/>
        </w:rPr>
        <w:br w:type="page"/>
      </w:r>
    </w:p>
    <w:p w14:paraId="79B25FCA" w14:textId="77777777" w:rsidR="0026218A" w:rsidRDefault="0026218A" w:rsidP="0026218A">
      <w:pPr>
        <w:rPr>
          <w:rFonts w:ascii="Verdana" w:hAnsi="Verdana"/>
          <w:b/>
          <w:sz w:val="22"/>
          <w:szCs w:val="22"/>
        </w:rPr>
      </w:pPr>
    </w:p>
    <w:p w14:paraId="5601BD78" w14:textId="77777777" w:rsidR="0026218A" w:rsidRPr="002231B5" w:rsidRDefault="0026218A" w:rsidP="0026218A">
      <w:pPr>
        <w:rPr>
          <w:rFonts w:ascii="Verdana" w:hAnsi="Verdana"/>
          <w:b/>
          <w:sz w:val="22"/>
          <w:szCs w:val="22"/>
        </w:rPr>
      </w:pPr>
      <w:r w:rsidRPr="002231B5">
        <w:rPr>
          <w:rFonts w:ascii="Verdana" w:hAnsi="Verdana"/>
          <w:b/>
          <w:sz w:val="22"/>
          <w:szCs w:val="22"/>
        </w:rPr>
        <w:t xml:space="preserve">Appendix 1. </w:t>
      </w:r>
      <w:r>
        <w:rPr>
          <w:rFonts w:ascii="Verdana" w:hAnsi="Verdana"/>
          <w:b/>
          <w:sz w:val="22"/>
          <w:szCs w:val="22"/>
        </w:rPr>
        <w:t>Markers of malignan</w:t>
      </w:r>
      <w:r w:rsidRPr="002231B5">
        <w:rPr>
          <w:rFonts w:ascii="Verdana" w:hAnsi="Verdana"/>
          <w:b/>
          <w:sz w:val="22"/>
          <w:szCs w:val="22"/>
        </w:rPr>
        <w:t xml:space="preserve">t cell burden to be used in different conditions. </w:t>
      </w:r>
    </w:p>
    <w:p w14:paraId="1BCE9AD5" w14:textId="77777777" w:rsidR="0026218A" w:rsidRDefault="0026218A" w:rsidP="0026218A">
      <w:pPr>
        <w:rPr>
          <w:rFonts w:ascii="Verdana" w:hAnsi="Verdana"/>
          <w:sz w:val="22"/>
          <w:szCs w:val="22"/>
        </w:rPr>
      </w:pPr>
      <w:r w:rsidRPr="002231B5">
        <w:rPr>
          <w:rFonts w:ascii="Verdana" w:hAnsi="Verdana"/>
          <w:sz w:val="22"/>
          <w:szCs w:val="22"/>
        </w:rPr>
        <w:t>*Malignant cell percentage measured using morphology, immunohistochemistry or immunophenotyping</w:t>
      </w:r>
    </w:p>
    <w:p w14:paraId="6016A8FB" w14:textId="77777777" w:rsidR="0026218A" w:rsidRPr="002231B5" w:rsidRDefault="0026218A" w:rsidP="0026218A">
      <w:pPr>
        <w:tabs>
          <w:tab w:val="left" w:pos="2540"/>
        </w:tabs>
        <w:rPr>
          <w:rFonts w:ascii="Verdana" w:hAnsi="Verdana"/>
          <w:sz w:val="22"/>
          <w:szCs w:val="22"/>
        </w:rPr>
      </w:pPr>
      <w:r>
        <w:rPr>
          <w:rFonts w:ascii="Verdana" w:hAnsi="Verdana"/>
          <w:sz w:val="22"/>
          <w:szCs w:val="22"/>
        </w:rPr>
        <w:tab/>
      </w:r>
      <w:r>
        <w:rPr>
          <w:rFonts w:ascii="Verdana" w:hAnsi="Verdana"/>
          <w:noProof/>
          <w:sz w:val="22"/>
          <w:szCs w:val="22"/>
        </w:rPr>
        <w:drawing>
          <wp:inline distT="0" distB="0" distL="0" distR="0" wp14:anchorId="2647092C" wp14:editId="0E379376">
            <wp:extent cx="5833346" cy="7040245"/>
            <wp:effectExtent l="0" t="0" r="8890" b="0"/>
            <wp:docPr id="5" name="Picture 5" descr="Macintosh HD:Users:annapozo:Desktop:Screen Shot 2019-08-29 at 09.4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pozo:Desktop:Screen Shot 2019-08-29 at 09.48.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835" cy="7040835"/>
                    </a:xfrm>
                    <a:prstGeom prst="rect">
                      <a:avLst/>
                    </a:prstGeom>
                    <a:noFill/>
                    <a:ln>
                      <a:noFill/>
                    </a:ln>
                  </pic:spPr>
                </pic:pic>
              </a:graphicData>
            </a:graphic>
          </wp:inline>
        </w:drawing>
      </w:r>
    </w:p>
    <w:p w14:paraId="01C50423" w14:textId="77777777" w:rsidR="0026218A" w:rsidRPr="000A1DFB" w:rsidRDefault="0026218A" w:rsidP="005F4109">
      <w:pPr>
        <w:rPr>
          <w:rFonts w:ascii="Verdana" w:hAnsi="Verdana"/>
        </w:rPr>
      </w:pPr>
    </w:p>
    <w:p w14:paraId="697B3D61" w14:textId="036208D6" w:rsidR="00315E39" w:rsidRPr="00B870B2" w:rsidRDefault="00315E39" w:rsidP="005F4109">
      <w:pPr>
        <w:pStyle w:val="GLHContents"/>
      </w:pPr>
    </w:p>
    <w:sectPr w:rsidR="00315E39" w:rsidRPr="00B870B2" w:rsidSect="009C37F9">
      <w:headerReference w:type="default" r:id="rId15"/>
      <w:footerReference w:type="default" r:id="rId16"/>
      <w:headerReference w:type="first" r:id="rId17"/>
      <w:footerReference w:type="first" r:id="rId18"/>
      <w:pgSz w:w="11909" w:h="16834" w:code="9"/>
      <w:pgMar w:top="567" w:right="1021" w:bottom="726" w:left="1021"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AA07" w14:textId="77777777" w:rsidR="005205E1" w:rsidRDefault="005205E1">
      <w:r>
        <w:separator/>
      </w:r>
    </w:p>
  </w:endnote>
  <w:endnote w:type="continuationSeparator" w:id="0">
    <w:p w14:paraId="561B4D57" w14:textId="77777777" w:rsidR="005205E1" w:rsidRDefault="005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06480808"/>
      <w:docPartObj>
        <w:docPartGallery w:val="Page Numbers (Top of Page)"/>
        <w:docPartUnique/>
      </w:docPartObj>
    </w:sdtPr>
    <w:sdtEndPr/>
    <w:sdtContent>
      <w:p w14:paraId="6F33982E" w14:textId="77777777" w:rsidR="009C37F9" w:rsidRDefault="009C37F9" w:rsidP="009C37F9">
        <w:pPr>
          <w:pStyle w:val="Footer"/>
          <w:tabs>
            <w:tab w:val="clear" w:pos="8306"/>
            <w:tab w:val="right" w:pos="9781"/>
          </w:tabs>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29620E61" w14:textId="6C490505" w:rsidR="009C37F9" w:rsidRPr="009C37F9" w:rsidRDefault="0020196A" w:rsidP="009C37F9">
        <w:pPr>
          <w:pStyle w:val="Footer"/>
          <w:tabs>
            <w:tab w:val="clear" w:pos="8306"/>
            <w:tab w:val="right" w:pos="9781"/>
            <w:tab w:val="right" w:pos="9923"/>
          </w:tabs>
          <w:rPr>
            <w:rFonts w:ascii="Arial" w:hAnsi="Arial" w:cs="Arial"/>
            <w:sz w:val="18"/>
            <w:szCs w:val="18"/>
          </w:rPr>
        </w:pPr>
        <w:r>
          <w:rPr>
            <w:rFonts w:ascii="Arial" w:hAnsi="Arial" w:cs="Arial"/>
            <w:b/>
            <w:sz w:val="18"/>
            <w:szCs w:val="18"/>
          </w:rPr>
          <w:t>Cambridge University Hospitals NHS Foundation Trust</w:t>
        </w:r>
        <w:r w:rsidR="009C37F9">
          <w:rPr>
            <w:rFonts w:ascii="Arial" w:hAnsi="Arial" w:cs="Arial"/>
            <w:b/>
            <w:sz w:val="18"/>
            <w:szCs w:val="18"/>
          </w:rPr>
          <w:tab/>
        </w:r>
        <w:r w:rsidR="009C37F9" w:rsidRPr="009C37F9">
          <w:rPr>
            <w:rFonts w:ascii="Arial" w:hAnsi="Arial" w:cs="Arial"/>
            <w:sz w:val="18"/>
            <w:szCs w:val="18"/>
          </w:rPr>
          <w:t xml:space="preserve">Page </w:t>
        </w:r>
        <w:r w:rsidR="009C37F9" w:rsidRPr="009C37F9">
          <w:rPr>
            <w:rFonts w:ascii="Arial" w:hAnsi="Arial" w:cs="Arial"/>
            <w:b/>
            <w:bCs/>
            <w:sz w:val="18"/>
            <w:szCs w:val="18"/>
          </w:rPr>
          <w:fldChar w:fldCharType="begin"/>
        </w:r>
        <w:r w:rsidR="009C37F9" w:rsidRPr="009C37F9">
          <w:rPr>
            <w:rFonts w:ascii="Arial" w:hAnsi="Arial" w:cs="Arial"/>
            <w:b/>
            <w:bCs/>
            <w:sz w:val="18"/>
            <w:szCs w:val="18"/>
          </w:rPr>
          <w:instrText xml:space="preserve"> PAGE </w:instrText>
        </w:r>
        <w:r w:rsidR="009C37F9" w:rsidRPr="009C37F9">
          <w:rPr>
            <w:rFonts w:ascii="Arial" w:hAnsi="Arial" w:cs="Arial"/>
            <w:b/>
            <w:bCs/>
            <w:sz w:val="18"/>
            <w:szCs w:val="18"/>
          </w:rPr>
          <w:fldChar w:fldCharType="separate"/>
        </w:r>
        <w:r w:rsidR="00F355DC">
          <w:rPr>
            <w:rFonts w:ascii="Arial" w:hAnsi="Arial" w:cs="Arial"/>
            <w:b/>
            <w:bCs/>
            <w:noProof/>
            <w:sz w:val="18"/>
            <w:szCs w:val="18"/>
          </w:rPr>
          <w:t>1</w:t>
        </w:r>
        <w:r w:rsidR="009C37F9" w:rsidRPr="009C37F9">
          <w:rPr>
            <w:rFonts w:ascii="Arial" w:hAnsi="Arial" w:cs="Arial"/>
            <w:b/>
            <w:bCs/>
            <w:sz w:val="18"/>
            <w:szCs w:val="18"/>
          </w:rPr>
          <w:fldChar w:fldCharType="end"/>
        </w:r>
        <w:r w:rsidR="009C37F9" w:rsidRPr="009C37F9">
          <w:rPr>
            <w:rFonts w:ascii="Arial" w:hAnsi="Arial" w:cs="Arial"/>
            <w:sz w:val="18"/>
            <w:szCs w:val="18"/>
          </w:rPr>
          <w:t xml:space="preserve"> of </w:t>
        </w:r>
        <w:r w:rsidR="009C37F9" w:rsidRPr="009C37F9">
          <w:rPr>
            <w:rFonts w:ascii="Arial" w:hAnsi="Arial" w:cs="Arial"/>
            <w:b/>
            <w:bCs/>
            <w:sz w:val="18"/>
            <w:szCs w:val="18"/>
          </w:rPr>
          <w:fldChar w:fldCharType="begin"/>
        </w:r>
        <w:r w:rsidR="009C37F9" w:rsidRPr="009C37F9">
          <w:rPr>
            <w:rFonts w:ascii="Arial" w:hAnsi="Arial" w:cs="Arial"/>
            <w:b/>
            <w:bCs/>
            <w:sz w:val="18"/>
            <w:szCs w:val="18"/>
          </w:rPr>
          <w:instrText xml:space="preserve"> NUMPAGES  </w:instrText>
        </w:r>
        <w:r w:rsidR="009C37F9" w:rsidRPr="009C37F9">
          <w:rPr>
            <w:rFonts w:ascii="Arial" w:hAnsi="Arial" w:cs="Arial"/>
            <w:b/>
            <w:bCs/>
            <w:sz w:val="18"/>
            <w:szCs w:val="18"/>
          </w:rPr>
          <w:fldChar w:fldCharType="separate"/>
        </w:r>
        <w:r w:rsidR="00F355DC">
          <w:rPr>
            <w:rFonts w:ascii="Arial" w:hAnsi="Arial" w:cs="Arial"/>
            <w:b/>
            <w:bCs/>
            <w:noProof/>
            <w:sz w:val="18"/>
            <w:szCs w:val="18"/>
          </w:rPr>
          <w:t>10</w:t>
        </w:r>
        <w:r w:rsidR="009C37F9" w:rsidRPr="009C37F9">
          <w:rPr>
            <w:rFonts w:ascii="Arial" w:hAnsi="Arial" w:cs="Arial"/>
            <w:b/>
            <w:bCs/>
            <w:sz w:val="18"/>
            <w:szCs w:val="18"/>
          </w:rPr>
          <w:fldChar w:fldCharType="end"/>
        </w:r>
      </w:p>
    </w:sdtContent>
  </w:sdt>
  <w:p w14:paraId="31CE67D8" w14:textId="77777777" w:rsidR="00316236" w:rsidRPr="000C6ED4" w:rsidRDefault="00316236" w:rsidP="009C37F9">
    <w:pPr>
      <w:pStyle w:val="Footer"/>
      <w:tabs>
        <w:tab w:val="right" w:pos="978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3460" w14:textId="77777777" w:rsidR="00256CC5" w:rsidRPr="00973991" w:rsidRDefault="00256CC5" w:rsidP="00256CC5">
    <w:pPr>
      <w:pStyle w:val="Footer"/>
      <w:jc w:val="right"/>
      <w:rPr>
        <w:rFonts w:ascii="Arial" w:hAnsi="Arial" w:cs="Arial"/>
        <w:sz w:val="18"/>
        <w:szCs w:val="18"/>
      </w:rPr>
    </w:pPr>
    <w:r w:rsidRPr="000C6ED4">
      <w:rPr>
        <w:rFonts w:ascii="Arial" w:hAnsi="Arial" w:cs="Arial"/>
        <w:b/>
      </w:rPr>
      <w:t>CONTROLLED DOCUMENT – DO NOT PRINT OR COPY</w:t>
    </w:r>
    <w:r>
      <w:tab/>
    </w:r>
    <w:r>
      <w:tab/>
    </w:r>
    <w:r w:rsidRPr="00973991">
      <w:rPr>
        <w:rFonts w:ascii="Arial" w:hAnsi="Arial" w:cs="Arial"/>
        <w:sz w:val="18"/>
        <w:szCs w:val="18"/>
      </w:rPr>
      <w:t xml:space="preserve">Page </w:t>
    </w:r>
    <w:r w:rsidRPr="00973991">
      <w:rPr>
        <w:rFonts w:ascii="Arial" w:hAnsi="Arial" w:cs="Arial"/>
        <w:b/>
        <w:bCs/>
        <w:sz w:val="18"/>
        <w:szCs w:val="18"/>
      </w:rPr>
      <w:fldChar w:fldCharType="begin"/>
    </w:r>
    <w:r w:rsidRPr="00973991">
      <w:rPr>
        <w:rFonts w:ascii="Arial" w:hAnsi="Arial" w:cs="Arial"/>
        <w:b/>
        <w:bCs/>
        <w:sz w:val="18"/>
        <w:szCs w:val="18"/>
      </w:rPr>
      <w:instrText xml:space="preserve"> PAGE </w:instrText>
    </w:r>
    <w:r w:rsidRPr="00973991">
      <w:rPr>
        <w:rFonts w:ascii="Arial" w:hAnsi="Arial" w:cs="Arial"/>
        <w:b/>
        <w:bCs/>
        <w:sz w:val="18"/>
        <w:szCs w:val="18"/>
      </w:rPr>
      <w:fldChar w:fldCharType="separate"/>
    </w:r>
    <w:r w:rsidR="009C37F9">
      <w:rPr>
        <w:rFonts w:ascii="Arial" w:hAnsi="Arial" w:cs="Arial"/>
        <w:b/>
        <w:bCs/>
        <w:noProof/>
        <w:sz w:val="18"/>
        <w:szCs w:val="18"/>
      </w:rPr>
      <w:t>1</w:t>
    </w:r>
    <w:r w:rsidRPr="00973991">
      <w:rPr>
        <w:rFonts w:ascii="Arial" w:hAnsi="Arial" w:cs="Arial"/>
        <w:b/>
        <w:bCs/>
        <w:sz w:val="18"/>
        <w:szCs w:val="18"/>
      </w:rPr>
      <w:fldChar w:fldCharType="end"/>
    </w:r>
    <w:r w:rsidRPr="00973991">
      <w:rPr>
        <w:rFonts w:ascii="Arial" w:hAnsi="Arial" w:cs="Arial"/>
        <w:sz w:val="18"/>
        <w:szCs w:val="18"/>
      </w:rPr>
      <w:t xml:space="preserve"> of </w:t>
    </w:r>
    <w:r w:rsidRPr="00973991">
      <w:rPr>
        <w:rFonts w:ascii="Arial" w:hAnsi="Arial" w:cs="Arial"/>
        <w:b/>
        <w:bCs/>
        <w:sz w:val="18"/>
        <w:szCs w:val="18"/>
      </w:rPr>
      <w:fldChar w:fldCharType="begin"/>
    </w:r>
    <w:r w:rsidRPr="00973991">
      <w:rPr>
        <w:rFonts w:ascii="Arial" w:hAnsi="Arial" w:cs="Arial"/>
        <w:b/>
        <w:bCs/>
        <w:sz w:val="18"/>
        <w:szCs w:val="18"/>
      </w:rPr>
      <w:instrText xml:space="preserve"> NUMPAGES  </w:instrText>
    </w:r>
    <w:r w:rsidRPr="00973991">
      <w:rPr>
        <w:rFonts w:ascii="Arial" w:hAnsi="Arial" w:cs="Arial"/>
        <w:b/>
        <w:bCs/>
        <w:sz w:val="18"/>
        <w:szCs w:val="18"/>
      </w:rPr>
      <w:fldChar w:fldCharType="separate"/>
    </w:r>
    <w:r w:rsidR="009C37F9">
      <w:rPr>
        <w:rFonts w:ascii="Arial" w:hAnsi="Arial" w:cs="Arial"/>
        <w:b/>
        <w:bCs/>
        <w:noProof/>
        <w:sz w:val="18"/>
        <w:szCs w:val="18"/>
      </w:rPr>
      <w:t>1</w:t>
    </w:r>
    <w:r w:rsidRPr="00973991">
      <w:rPr>
        <w:rFonts w:ascii="Arial" w:hAnsi="Arial" w:cs="Arial"/>
        <w:b/>
        <w:bCs/>
        <w:sz w:val="18"/>
        <w:szCs w:val="18"/>
      </w:rPr>
      <w:fldChar w:fldCharType="end"/>
    </w:r>
  </w:p>
  <w:p w14:paraId="457C0823" w14:textId="77777777" w:rsidR="00316236" w:rsidRPr="000C6ED4" w:rsidRDefault="00316236" w:rsidP="0025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3609" w14:textId="77777777" w:rsidR="005205E1" w:rsidRDefault="005205E1">
      <w:r>
        <w:separator/>
      </w:r>
    </w:p>
  </w:footnote>
  <w:footnote w:type="continuationSeparator" w:id="0">
    <w:p w14:paraId="1458C854" w14:textId="77777777" w:rsidR="005205E1" w:rsidRDefault="0052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96E" w14:textId="78A75FB9" w:rsidR="009C37F9" w:rsidRPr="0099088D" w:rsidRDefault="00A23EAE" w:rsidP="009C37F9">
    <w:pPr>
      <w:tabs>
        <w:tab w:val="center" w:pos="4153"/>
        <w:tab w:val="right" w:pos="9900"/>
      </w:tabs>
      <w:rPr>
        <w:rFonts w:ascii="Arial" w:hAnsi="Arial" w:cs="Arial"/>
        <w:b/>
        <w:sz w:val="20"/>
        <w:lang w:eastAsia="en-US"/>
      </w:rPr>
    </w:pPr>
    <w:r>
      <w:rPr>
        <w:rFonts w:ascii="Arial" w:hAnsi="Arial" w:cs="Arial"/>
        <w:b/>
        <w:noProof/>
        <w:sz w:val="20"/>
      </w:rPr>
      <w:drawing>
        <wp:inline distT="0" distB="0" distL="0" distR="0" wp14:anchorId="42E742D3" wp14:editId="0E7EB96C">
          <wp:extent cx="2386940" cy="59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_GLH_RGB_Left_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180" cy="590554"/>
                  </a:xfrm>
                  <a:prstGeom prst="rect">
                    <a:avLst/>
                  </a:prstGeom>
                </pic:spPr>
              </pic:pic>
            </a:graphicData>
          </a:graphic>
        </wp:inline>
      </w:drawing>
    </w:r>
    <w:r w:rsidR="009C37F9" w:rsidRPr="0099088D">
      <w:rPr>
        <w:rFonts w:ascii="Arial" w:hAnsi="Arial" w:cs="Arial"/>
        <w:b/>
        <w:sz w:val="20"/>
        <w:lang w:eastAsia="en-US"/>
      </w:rPr>
      <w:tab/>
    </w:r>
    <w:r w:rsidR="009C37F9" w:rsidRPr="0099088D">
      <w:rPr>
        <w:rFonts w:ascii="Arial" w:hAnsi="Arial" w:cs="Arial"/>
        <w:b/>
        <w:sz w:val="20"/>
        <w:lang w:eastAsia="en-US"/>
      </w:rPr>
      <w:tab/>
    </w:r>
    <w:r w:rsidR="007C7B4C">
      <w:rPr>
        <w:rFonts w:ascii="Verdana" w:hAnsi="Verdana" w:cs="Arial"/>
        <w:b/>
        <w:sz w:val="20"/>
        <w:lang w:eastAsia="en-US"/>
      </w:rPr>
      <w:t>GH-REF</w:t>
    </w:r>
    <w:r w:rsidR="00437A7F" w:rsidRPr="00821E52">
      <w:rPr>
        <w:rFonts w:ascii="Verdana" w:hAnsi="Verdana" w:cs="Arial"/>
        <w:b/>
        <w:sz w:val="20"/>
        <w:lang w:eastAsia="en-US"/>
      </w:rPr>
      <w:t xml:space="preserve">-1 </w:t>
    </w:r>
    <w:r w:rsidR="009C37F9" w:rsidRPr="00821E52">
      <w:rPr>
        <w:rFonts w:ascii="Verdana" w:hAnsi="Verdana" w:cs="Arial"/>
        <w:b/>
        <w:sz w:val="20"/>
        <w:lang w:eastAsia="en-US"/>
      </w:rPr>
      <w:t>(</w:t>
    </w:r>
    <w:r w:rsidR="00784C3F" w:rsidRPr="00821E52">
      <w:rPr>
        <w:rFonts w:ascii="Verdana" w:hAnsi="Verdana" w:cs="Arial"/>
        <w:b/>
        <w:sz w:val="20"/>
        <w:lang w:eastAsia="en-US"/>
      </w:rPr>
      <w:t>Rev</w:t>
    </w:r>
    <w:r w:rsidR="0020196A" w:rsidRPr="00821E52">
      <w:rPr>
        <w:rFonts w:ascii="Verdana" w:hAnsi="Verdana" w:cs="Arial"/>
        <w:b/>
        <w:sz w:val="20"/>
        <w:lang w:eastAsia="en-US"/>
      </w:rPr>
      <w:t xml:space="preserve"> </w:t>
    </w:r>
    <w:r w:rsidR="001256A6" w:rsidRPr="00821E52">
      <w:rPr>
        <w:rFonts w:ascii="Verdana" w:hAnsi="Verdana" w:cs="Arial"/>
        <w:b/>
        <w:sz w:val="20"/>
        <w:lang w:eastAsia="en-US"/>
      </w:rPr>
      <w:t>1</w:t>
    </w:r>
    <w:r w:rsidR="009C37F9" w:rsidRPr="00821E52">
      <w:rPr>
        <w:rFonts w:ascii="Verdana" w:hAnsi="Verdana" w:cs="Arial"/>
        <w:b/>
        <w:sz w:val="20"/>
        <w:lang w:eastAsia="en-US"/>
      </w:rPr>
      <w:t>)</w:t>
    </w:r>
  </w:p>
  <w:p w14:paraId="32D3F37E" w14:textId="77777777" w:rsidR="009C37F9" w:rsidRDefault="009C37F9" w:rsidP="009C37F9">
    <w:pPr>
      <w:pStyle w:val="Header"/>
      <w:jc w:val="right"/>
      <w:rPr>
        <w:rFonts w:ascii="Arial" w:hAnsi="Arial" w:cs="Arial"/>
        <w:b/>
        <w:sz w:val="20"/>
      </w:rPr>
    </w:pPr>
    <w:r>
      <w:rPr>
        <w:noProof/>
      </w:rPr>
      <mc:AlternateContent>
        <mc:Choice Requires="wps">
          <w:drawing>
            <wp:anchor distT="0" distB="0" distL="114300" distR="114300" simplePos="0" relativeHeight="251657728" behindDoc="0" locked="0" layoutInCell="1" allowOverlap="1" wp14:anchorId="6820B411" wp14:editId="7B01DBBB">
              <wp:simplePos x="0" y="0"/>
              <wp:positionH relativeFrom="column">
                <wp:posOffset>-42693</wp:posOffset>
              </wp:positionH>
              <wp:positionV relativeFrom="paragraph">
                <wp:posOffset>62931</wp:posOffset>
              </wp:positionV>
              <wp:extent cx="6353175" cy="451262"/>
              <wp:effectExtent l="0" t="0" r="28575"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51262"/>
                      </a:xfrm>
                      <a:prstGeom prst="rect">
                        <a:avLst/>
                      </a:prstGeom>
                      <a:solidFill>
                        <a:srgbClr val="FFFFFF"/>
                      </a:solidFill>
                      <a:ln w="9525">
                        <a:solidFill>
                          <a:srgbClr val="000000"/>
                        </a:solidFill>
                        <a:miter lim="800000"/>
                        <a:headEnd/>
                        <a:tailEnd/>
                      </a:ln>
                    </wps:spPr>
                    <wps:txbx>
                      <w:txbxContent>
                        <w:p w14:paraId="416DC330" w14:textId="77777777" w:rsidR="0026218A" w:rsidRPr="00821E52" w:rsidRDefault="0026218A" w:rsidP="0026218A">
                          <w:pPr>
                            <w:jc w:val="center"/>
                            <w:rPr>
                              <w:rFonts w:ascii="Verdana" w:hAnsi="Verdana"/>
                              <w:b/>
                            </w:rPr>
                          </w:pPr>
                          <w:r w:rsidRPr="00821E52">
                            <w:rPr>
                              <w:rFonts w:ascii="Verdana" w:hAnsi="Verdana"/>
                              <w:b/>
                            </w:rPr>
                            <w:t>Whole genome sequencing for haematological malignancies: guidance for clinical teams</w:t>
                          </w:r>
                        </w:p>
                        <w:p w14:paraId="319AA21B" w14:textId="34C9EBF4" w:rsidR="009C37F9" w:rsidRPr="00256CC5" w:rsidRDefault="009C37F9" w:rsidP="009C37F9">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B411" id="Rectangle 3" o:spid="_x0000_s1026" style="position:absolute;left:0;text-align:left;margin-left:-3.35pt;margin-top:4.95pt;width:500.2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">
              <v:textbox>
                <w:txbxContent>
                  <w:p w14:paraId="416DC330" w14:textId="77777777" w:rsidR="0026218A" w:rsidRPr="00821E52" w:rsidRDefault="0026218A" w:rsidP="0026218A">
                    <w:pPr>
                      <w:jc w:val="center"/>
                      <w:rPr>
                        <w:rFonts w:ascii="Verdana" w:hAnsi="Verdana"/>
                        <w:b/>
                      </w:rPr>
                    </w:pPr>
                    <w:r w:rsidRPr="00821E52">
                      <w:rPr>
                        <w:rFonts w:ascii="Verdana" w:hAnsi="Verdana"/>
                        <w:b/>
                      </w:rPr>
                      <w:t>Whole genome sequencing for haematological malignancies: guidance for clinical teams</w:t>
                    </w:r>
                  </w:p>
                  <w:p w14:paraId="319AA21B" w14:textId="34C9EBF4" w:rsidR="009C37F9" w:rsidRPr="00256CC5" w:rsidRDefault="009C37F9" w:rsidP="009C37F9">
                    <w:pPr>
                      <w:jc w:val="center"/>
                      <w:rPr>
                        <w:rFonts w:ascii="Arial" w:hAnsi="Arial"/>
                        <w:b/>
                      </w:rPr>
                    </w:pPr>
                  </w:p>
                </w:txbxContent>
              </v:textbox>
            </v:rect>
          </w:pict>
        </mc:Fallback>
      </mc:AlternateContent>
    </w:r>
  </w:p>
  <w:p w14:paraId="0830FD25" w14:textId="77777777" w:rsidR="00D66C1C" w:rsidRDefault="00D66C1C" w:rsidP="009C37F9">
    <w:pPr>
      <w:pStyle w:val="Header"/>
    </w:pPr>
  </w:p>
  <w:p w14:paraId="5A6C3C26" w14:textId="77777777" w:rsidR="009C37F9" w:rsidRPr="009C37F9" w:rsidRDefault="009C37F9" w:rsidP="009C3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3EBA" w14:textId="77777777" w:rsidR="00193BA5" w:rsidRPr="0099088D" w:rsidRDefault="00193BA5" w:rsidP="00316236">
    <w:pPr>
      <w:tabs>
        <w:tab w:val="center" w:pos="4153"/>
        <w:tab w:val="right" w:pos="9900"/>
      </w:tabs>
      <w:rPr>
        <w:b/>
        <w:sz w:val="28"/>
        <w:szCs w:val="28"/>
        <w:lang w:eastAsia="en-US"/>
      </w:rPr>
    </w:pPr>
    <w:r w:rsidRPr="0099088D">
      <w:rPr>
        <w:rFonts w:ascii="Arial" w:hAnsi="Arial" w:cs="Arial"/>
        <w:b/>
        <w:sz w:val="22"/>
        <w:szCs w:val="22"/>
        <w:lang w:eastAsia="en-US"/>
      </w:rPr>
      <w:t>Specialist Pathology</w:t>
    </w:r>
    <w:r w:rsidRPr="0099088D">
      <w:rPr>
        <w:rFonts w:ascii="Arial" w:hAnsi="Arial" w:cs="Arial"/>
        <w:b/>
        <w:sz w:val="28"/>
        <w:szCs w:val="28"/>
        <w:lang w:eastAsia="en-US"/>
      </w:rPr>
      <w:tab/>
    </w:r>
    <w:r w:rsidR="00316236" w:rsidRPr="0099088D">
      <w:rPr>
        <w:rFonts w:ascii="Arial" w:hAnsi="Arial" w:cs="Arial"/>
        <w:b/>
        <w:sz w:val="28"/>
        <w:szCs w:val="28"/>
        <w:lang w:eastAsia="en-US"/>
      </w:rPr>
      <w:tab/>
    </w:r>
  </w:p>
  <w:p w14:paraId="62B92A5A" w14:textId="77777777" w:rsidR="00316236" w:rsidRPr="0099088D" w:rsidRDefault="00973991" w:rsidP="00316236">
    <w:pPr>
      <w:tabs>
        <w:tab w:val="center" w:pos="4153"/>
        <w:tab w:val="right" w:pos="9900"/>
      </w:tabs>
      <w:rPr>
        <w:rFonts w:ascii="Arial" w:hAnsi="Arial" w:cs="Arial"/>
        <w:b/>
        <w:sz w:val="20"/>
        <w:lang w:eastAsia="en-US"/>
      </w:rPr>
    </w:pPr>
    <w:r>
      <w:rPr>
        <w:rFonts w:ascii="Arial" w:hAnsi="Arial"/>
        <w:b/>
        <w:sz w:val="22"/>
        <w:szCs w:val="22"/>
        <w:lang w:eastAsia="en-US"/>
      </w:rPr>
      <w:t>Tissue Typing</w:t>
    </w:r>
    <w:r w:rsidR="00F769AB" w:rsidRPr="0099088D">
      <w:rPr>
        <w:rFonts w:ascii="Arial" w:hAnsi="Arial" w:cs="Arial"/>
        <w:b/>
        <w:sz w:val="20"/>
        <w:lang w:eastAsia="en-US"/>
      </w:rPr>
      <w:tab/>
    </w:r>
    <w:r w:rsidR="00F769AB" w:rsidRPr="0099088D">
      <w:rPr>
        <w:rFonts w:ascii="Arial" w:hAnsi="Arial" w:cs="Arial"/>
        <w:b/>
        <w:sz w:val="20"/>
        <w:lang w:eastAsia="en-US"/>
      </w:rPr>
      <w:tab/>
    </w:r>
    <w:r>
      <w:rPr>
        <w:rFonts w:ascii="Arial" w:hAnsi="Arial" w:cs="Arial"/>
        <w:b/>
        <w:sz w:val="20"/>
        <w:lang w:eastAsia="en-US"/>
      </w:rPr>
      <w:t>TT</w:t>
    </w:r>
    <w:r w:rsidR="00193BA5" w:rsidRPr="0099088D">
      <w:rPr>
        <w:rFonts w:ascii="Arial" w:hAnsi="Arial" w:cs="Arial"/>
        <w:b/>
        <w:sz w:val="20"/>
        <w:lang w:eastAsia="en-US"/>
      </w:rPr>
      <w:t>.</w:t>
    </w:r>
    <w:r w:rsidR="00F769AB" w:rsidRPr="0099088D">
      <w:rPr>
        <w:rFonts w:ascii="Arial" w:hAnsi="Arial" w:cs="Arial"/>
        <w:b/>
        <w:sz w:val="20"/>
        <w:lang w:eastAsia="en-US"/>
      </w:rPr>
      <w:t>SOPxxx</w:t>
    </w:r>
    <w:r w:rsidR="007B4648" w:rsidRPr="0099088D">
      <w:rPr>
        <w:rFonts w:ascii="Arial" w:hAnsi="Arial" w:cs="Arial"/>
        <w:b/>
        <w:sz w:val="20"/>
        <w:lang w:eastAsia="en-US"/>
      </w:rPr>
      <w:t>x</w:t>
    </w:r>
    <w:r w:rsidR="00F769AB" w:rsidRPr="0099088D">
      <w:rPr>
        <w:rFonts w:ascii="Arial" w:hAnsi="Arial" w:cs="Arial"/>
        <w:b/>
        <w:sz w:val="20"/>
        <w:lang w:eastAsia="en-US"/>
      </w:rPr>
      <w:t>(x</w:t>
    </w:r>
    <w:r w:rsidR="00316236" w:rsidRPr="0099088D">
      <w:rPr>
        <w:rFonts w:ascii="Arial" w:hAnsi="Arial" w:cs="Arial"/>
        <w:b/>
        <w:sz w:val="20"/>
        <w:lang w:eastAsia="en-US"/>
      </w:rPr>
      <w:t>)</w:t>
    </w:r>
  </w:p>
  <w:p w14:paraId="749AB527" w14:textId="77777777" w:rsidR="007E1805" w:rsidRDefault="009C37F9" w:rsidP="00E915B4">
    <w:pPr>
      <w:pStyle w:val="Header"/>
      <w:jc w:val="right"/>
      <w:rPr>
        <w:rFonts w:ascii="Arial" w:hAnsi="Arial" w:cs="Arial"/>
        <w:b/>
        <w:sz w:val="20"/>
      </w:rPr>
    </w:pPr>
    <w:r>
      <w:rPr>
        <w:noProof/>
      </w:rPr>
      <mc:AlternateContent>
        <mc:Choice Requires="wps">
          <w:drawing>
            <wp:anchor distT="0" distB="0" distL="114300" distR="114300" simplePos="0" relativeHeight="251656704" behindDoc="0" locked="0" layoutInCell="1" allowOverlap="1" wp14:anchorId="70069753" wp14:editId="47E83088">
              <wp:simplePos x="0" y="0"/>
              <wp:positionH relativeFrom="column">
                <wp:posOffset>-39370</wp:posOffset>
              </wp:positionH>
              <wp:positionV relativeFrom="paragraph">
                <wp:posOffset>62865</wp:posOffset>
              </wp:positionV>
              <wp:extent cx="6353175" cy="257175"/>
              <wp:effectExtent l="8255" t="5715"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57175"/>
                      </a:xfrm>
                      <a:prstGeom prst="rect">
                        <a:avLst/>
                      </a:prstGeom>
                      <a:solidFill>
                        <a:srgbClr val="FFFFFF"/>
                      </a:solidFill>
                      <a:ln w="9525">
                        <a:solidFill>
                          <a:srgbClr val="000000"/>
                        </a:solidFill>
                        <a:miter lim="800000"/>
                        <a:headEnd/>
                        <a:tailEnd/>
                      </a:ln>
                    </wps:spPr>
                    <wps:txbx>
                      <w:txbxContent>
                        <w:p w14:paraId="6A250DAD" w14:textId="77777777" w:rsidR="00473212" w:rsidRPr="00256CC5" w:rsidRDefault="00473212" w:rsidP="00473212">
                          <w:pPr>
                            <w:jc w:val="center"/>
                            <w:rPr>
                              <w:rFonts w:ascii="Arial" w:hAnsi="Arial"/>
                              <w:b/>
                            </w:rPr>
                          </w:pPr>
                          <w:r w:rsidRPr="00256CC5">
                            <w:rPr>
                              <w:rFonts w:ascii="Arial" w:hAnsi="Arial"/>
                              <w:b/>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9753" id="Rectangle 2" o:spid="_x0000_s1027" style="position:absolute;left:0;text-align:left;margin-left:-3.1pt;margin-top:4.95pt;width:500.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">
              <v:textbox>
                <w:txbxContent>
                  <w:p w14:paraId="6A250DAD" w14:textId="77777777" w:rsidR="00473212" w:rsidRPr="00256CC5" w:rsidRDefault="00473212" w:rsidP="00473212">
                    <w:pPr>
                      <w:jc w:val="center"/>
                      <w:rPr>
                        <w:rFonts w:ascii="Arial" w:hAnsi="Arial"/>
                        <w:b/>
                      </w:rPr>
                    </w:pPr>
                    <w:r w:rsidRPr="00256CC5">
                      <w:rPr>
                        <w:rFonts w:ascii="Arial" w:hAnsi="Arial"/>
                        <w:b/>
                      </w:rPr>
                      <w:t>Title</w:t>
                    </w:r>
                  </w:p>
                </w:txbxContent>
              </v:textbox>
            </v:rect>
          </w:pict>
        </mc:Fallback>
      </mc:AlternateContent>
    </w:r>
  </w:p>
  <w:p w14:paraId="6E24A009" w14:textId="77777777" w:rsidR="007E1805" w:rsidRDefault="007E1805" w:rsidP="00E915B4">
    <w:pPr>
      <w:pStyle w:val="Header"/>
      <w:jc w:val="right"/>
      <w:rPr>
        <w:rFonts w:ascii="Arial" w:hAnsi="Arial" w:cs="Arial"/>
        <w:b/>
        <w:sz w:val="20"/>
      </w:rPr>
    </w:pPr>
  </w:p>
  <w:p w14:paraId="0E1C77AD" w14:textId="77777777" w:rsidR="007E1805" w:rsidRPr="0099088D" w:rsidRDefault="007E1805" w:rsidP="00E915B4">
    <w:pPr>
      <w:pStyle w:val="Header"/>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5CD"/>
    <w:multiLevelType w:val="multilevel"/>
    <w:tmpl w:val="1068CBB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E34EB"/>
    <w:multiLevelType w:val="hybridMultilevel"/>
    <w:tmpl w:val="21B0E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419C3"/>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18536E3E"/>
    <w:multiLevelType w:val="hybridMultilevel"/>
    <w:tmpl w:val="7F6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813F5"/>
    <w:multiLevelType w:val="multilevel"/>
    <w:tmpl w:val="BB56866C"/>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F2358C"/>
    <w:multiLevelType w:val="hybridMultilevel"/>
    <w:tmpl w:val="FDE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24CD2"/>
    <w:multiLevelType w:val="multilevel"/>
    <w:tmpl w:val="BCFA3A3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AB2FF9"/>
    <w:multiLevelType w:val="multilevel"/>
    <w:tmpl w:val="60A4EC1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AF332A"/>
    <w:multiLevelType w:val="multilevel"/>
    <w:tmpl w:val="0BFE6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1577480"/>
    <w:multiLevelType w:val="hybridMultilevel"/>
    <w:tmpl w:val="278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3151"/>
    <w:multiLevelType w:val="multilevel"/>
    <w:tmpl w:val="53BEF0F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5D95E80"/>
    <w:multiLevelType w:val="hybridMultilevel"/>
    <w:tmpl w:val="5426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17221"/>
    <w:multiLevelType w:val="hybridMultilevel"/>
    <w:tmpl w:val="3A00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E47C5"/>
    <w:multiLevelType w:val="hybridMultilevel"/>
    <w:tmpl w:val="2BBC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37219"/>
    <w:multiLevelType w:val="hybridMultilevel"/>
    <w:tmpl w:val="07E40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327FE3"/>
    <w:multiLevelType w:val="hybridMultilevel"/>
    <w:tmpl w:val="EFAE8F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B44302E"/>
    <w:multiLevelType w:val="multilevel"/>
    <w:tmpl w:val="63146EA0"/>
    <w:lvl w:ilvl="0">
      <w:start w:val="1"/>
      <w:numFmt w:val="decimal"/>
      <w:lvlText w:val="%1"/>
      <w:lvlJc w:val="left"/>
      <w:pPr>
        <w:tabs>
          <w:tab w:val="num" w:pos="432"/>
        </w:tabs>
        <w:ind w:left="432" w:hanging="432"/>
      </w:pPr>
      <w:rPr>
        <w:rFonts w:hint="default"/>
      </w:rPr>
    </w:lvl>
    <w:lvl w:ilvl="1">
      <w:start w:val="1"/>
      <w:numFmt w:val="decimal"/>
      <w:pStyle w:val="Header2"/>
      <w:lvlText w:val="%1.%2"/>
      <w:lvlJc w:val="left"/>
      <w:pPr>
        <w:tabs>
          <w:tab w:val="num" w:pos="576"/>
        </w:tabs>
        <w:ind w:left="576" w:hanging="576"/>
      </w:pPr>
      <w:rPr>
        <w:rFonts w:hint="default"/>
      </w:rPr>
    </w:lvl>
    <w:lvl w:ilvl="2">
      <w:start w:val="1"/>
      <w:numFmt w:val="decimal"/>
      <w:pStyle w:val="BodyText"/>
      <w:lvlText w:val="%1.%2.%3"/>
      <w:lvlJc w:val="left"/>
      <w:pPr>
        <w:tabs>
          <w:tab w:val="num" w:pos="720"/>
        </w:tabs>
        <w:ind w:left="720" w:hanging="720"/>
      </w:pPr>
      <w:rPr>
        <w:rFonts w:hint="default"/>
        <w:b w:val="0"/>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EFE2D2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1061DD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8233F9"/>
    <w:multiLevelType w:val="hybridMultilevel"/>
    <w:tmpl w:val="1DF45E74"/>
    <w:lvl w:ilvl="0" w:tplc="37448C84">
      <w:start w:val="1"/>
      <w:numFmt w:val="bullet"/>
      <w:lvlText w:val=""/>
      <w:lvlJc w:val="left"/>
      <w:pPr>
        <w:tabs>
          <w:tab w:val="num" w:pos="1440"/>
        </w:tabs>
        <w:ind w:left="144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9346D6E"/>
    <w:multiLevelType w:val="multilevel"/>
    <w:tmpl w:val="AEBAC6A2"/>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D8E6029"/>
    <w:multiLevelType w:val="multilevel"/>
    <w:tmpl w:val="9918939E"/>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A9137C"/>
    <w:multiLevelType w:val="hybridMultilevel"/>
    <w:tmpl w:val="7ACC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B6CDE"/>
    <w:multiLevelType w:val="hybridMultilevel"/>
    <w:tmpl w:val="84E6D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54563"/>
    <w:multiLevelType w:val="multilevel"/>
    <w:tmpl w:val="2FC2759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7C7D63"/>
    <w:multiLevelType w:val="multilevel"/>
    <w:tmpl w:val="02EA18EE"/>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7"/>
  </w:num>
  <w:num w:numId="3">
    <w:abstractNumId w:val="18"/>
  </w:num>
  <w:num w:numId="4">
    <w:abstractNumId w:val="2"/>
  </w:num>
  <w:num w:numId="5">
    <w:abstractNumId w:val="20"/>
  </w:num>
  <w:num w:numId="6">
    <w:abstractNumId w:val="21"/>
  </w:num>
  <w:num w:numId="7">
    <w:abstractNumId w:val="25"/>
  </w:num>
  <w:num w:numId="8">
    <w:abstractNumId w:val="7"/>
  </w:num>
  <w:num w:numId="9">
    <w:abstractNumId w:val="24"/>
  </w:num>
  <w:num w:numId="10">
    <w:abstractNumId w:val="10"/>
  </w:num>
  <w:num w:numId="11">
    <w:abstractNumId w:val="6"/>
  </w:num>
  <w:num w:numId="12">
    <w:abstractNumId w:val="4"/>
  </w:num>
  <w:num w:numId="13">
    <w:abstractNumId w:val="8"/>
  </w:num>
  <w:num w:numId="14">
    <w:abstractNumId w:val="0"/>
  </w:num>
  <w:num w:numId="15">
    <w:abstractNumId w:val="1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23"/>
  </w:num>
  <w:num w:numId="21">
    <w:abstractNumId w:val="13"/>
  </w:num>
  <w:num w:numId="22">
    <w:abstractNumId w:val="11"/>
  </w:num>
  <w:num w:numId="23">
    <w:abstractNumId w:val="9"/>
  </w:num>
  <w:num w:numId="24">
    <w:abstractNumId w:val="3"/>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ED"/>
    <w:rsid w:val="00002757"/>
    <w:rsid w:val="000048E8"/>
    <w:rsid w:val="000060B7"/>
    <w:rsid w:val="00015371"/>
    <w:rsid w:val="00015B54"/>
    <w:rsid w:val="00017A26"/>
    <w:rsid w:val="00025640"/>
    <w:rsid w:val="00026CDA"/>
    <w:rsid w:val="00026E09"/>
    <w:rsid w:val="00030341"/>
    <w:rsid w:val="000305FC"/>
    <w:rsid w:val="00047054"/>
    <w:rsid w:val="00050C18"/>
    <w:rsid w:val="00051976"/>
    <w:rsid w:val="00052110"/>
    <w:rsid w:val="0006108C"/>
    <w:rsid w:val="00066047"/>
    <w:rsid w:val="00070373"/>
    <w:rsid w:val="000743A1"/>
    <w:rsid w:val="0007542B"/>
    <w:rsid w:val="00085697"/>
    <w:rsid w:val="00097391"/>
    <w:rsid w:val="000A464B"/>
    <w:rsid w:val="000A4A25"/>
    <w:rsid w:val="000B1AA5"/>
    <w:rsid w:val="000C0ED5"/>
    <w:rsid w:val="000C1E35"/>
    <w:rsid w:val="000C3587"/>
    <w:rsid w:val="000C666D"/>
    <w:rsid w:val="000C6ED4"/>
    <w:rsid w:val="000D430E"/>
    <w:rsid w:val="000E43A0"/>
    <w:rsid w:val="000F0F29"/>
    <w:rsid w:val="000F3314"/>
    <w:rsid w:val="000F7169"/>
    <w:rsid w:val="00112101"/>
    <w:rsid w:val="00113935"/>
    <w:rsid w:val="00113EDC"/>
    <w:rsid w:val="00114BA8"/>
    <w:rsid w:val="001249FC"/>
    <w:rsid w:val="001256A6"/>
    <w:rsid w:val="0012675E"/>
    <w:rsid w:val="00133866"/>
    <w:rsid w:val="00136073"/>
    <w:rsid w:val="00150537"/>
    <w:rsid w:val="00151A89"/>
    <w:rsid w:val="00152C6A"/>
    <w:rsid w:val="00167977"/>
    <w:rsid w:val="00191FA4"/>
    <w:rsid w:val="00193BA5"/>
    <w:rsid w:val="00194131"/>
    <w:rsid w:val="001B0059"/>
    <w:rsid w:val="001C4C58"/>
    <w:rsid w:val="001D0913"/>
    <w:rsid w:val="001D1556"/>
    <w:rsid w:val="001D2D74"/>
    <w:rsid w:val="001E2CAC"/>
    <w:rsid w:val="001F5171"/>
    <w:rsid w:val="0020196A"/>
    <w:rsid w:val="00216E70"/>
    <w:rsid w:val="002202A1"/>
    <w:rsid w:val="002221EB"/>
    <w:rsid w:val="00231FE7"/>
    <w:rsid w:val="00237AB5"/>
    <w:rsid w:val="00240226"/>
    <w:rsid w:val="0025302B"/>
    <w:rsid w:val="00256CC5"/>
    <w:rsid w:val="0026218A"/>
    <w:rsid w:val="00275201"/>
    <w:rsid w:val="002815C3"/>
    <w:rsid w:val="00282638"/>
    <w:rsid w:val="00284278"/>
    <w:rsid w:val="0028461A"/>
    <w:rsid w:val="00285DFC"/>
    <w:rsid w:val="0029204C"/>
    <w:rsid w:val="002B4EC1"/>
    <w:rsid w:val="002B5087"/>
    <w:rsid w:val="002C5953"/>
    <w:rsid w:val="002E16B8"/>
    <w:rsid w:val="002E3C2D"/>
    <w:rsid w:val="002F0C24"/>
    <w:rsid w:val="002F78B8"/>
    <w:rsid w:val="002F7FE5"/>
    <w:rsid w:val="00304F5E"/>
    <w:rsid w:val="003102FC"/>
    <w:rsid w:val="00314281"/>
    <w:rsid w:val="00315E39"/>
    <w:rsid w:val="00316236"/>
    <w:rsid w:val="00316321"/>
    <w:rsid w:val="003164FB"/>
    <w:rsid w:val="00331FB6"/>
    <w:rsid w:val="00343989"/>
    <w:rsid w:val="003479A8"/>
    <w:rsid w:val="0035124A"/>
    <w:rsid w:val="003636BE"/>
    <w:rsid w:val="00371CBB"/>
    <w:rsid w:val="00381BF0"/>
    <w:rsid w:val="0038306D"/>
    <w:rsid w:val="0038599F"/>
    <w:rsid w:val="00392C71"/>
    <w:rsid w:val="003958B0"/>
    <w:rsid w:val="003B23AB"/>
    <w:rsid w:val="003B412F"/>
    <w:rsid w:val="003B5321"/>
    <w:rsid w:val="003D25E8"/>
    <w:rsid w:val="003E6020"/>
    <w:rsid w:val="004017D0"/>
    <w:rsid w:val="00406C0F"/>
    <w:rsid w:val="00410563"/>
    <w:rsid w:val="004227A3"/>
    <w:rsid w:val="00434F95"/>
    <w:rsid w:val="0043592D"/>
    <w:rsid w:val="00437A7F"/>
    <w:rsid w:val="00442C23"/>
    <w:rsid w:val="0045252C"/>
    <w:rsid w:val="00454CB1"/>
    <w:rsid w:val="00471DF2"/>
    <w:rsid w:val="00473212"/>
    <w:rsid w:val="00473C57"/>
    <w:rsid w:val="00482B06"/>
    <w:rsid w:val="00483A09"/>
    <w:rsid w:val="0049713E"/>
    <w:rsid w:val="004A0C9B"/>
    <w:rsid w:val="004C1AC1"/>
    <w:rsid w:val="004C2A44"/>
    <w:rsid w:val="004D1E1F"/>
    <w:rsid w:val="004D5C4C"/>
    <w:rsid w:val="004F4839"/>
    <w:rsid w:val="004F5220"/>
    <w:rsid w:val="0051126B"/>
    <w:rsid w:val="00514D19"/>
    <w:rsid w:val="005205E1"/>
    <w:rsid w:val="005211A8"/>
    <w:rsid w:val="00536835"/>
    <w:rsid w:val="0053740F"/>
    <w:rsid w:val="00543045"/>
    <w:rsid w:val="005503A4"/>
    <w:rsid w:val="00554C12"/>
    <w:rsid w:val="005652EE"/>
    <w:rsid w:val="00567323"/>
    <w:rsid w:val="00571C49"/>
    <w:rsid w:val="00571F9A"/>
    <w:rsid w:val="00573BB5"/>
    <w:rsid w:val="00593ADA"/>
    <w:rsid w:val="005A139A"/>
    <w:rsid w:val="005A258D"/>
    <w:rsid w:val="005A693F"/>
    <w:rsid w:val="005A70CB"/>
    <w:rsid w:val="005B16F5"/>
    <w:rsid w:val="005B20BC"/>
    <w:rsid w:val="005B3CB1"/>
    <w:rsid w:val="005B4BB9"/>
    <w:rsid w:val="005C15DE"/>
    <w:rsid w:val="005C444C"/>
    <w:rsid w:val="005C5FEA"/>
    <w:rsid w:val="005D39EE"/>
    <w:rsid w:val="005D4F2A"/>
    <w:rsid w:val="005E5302"/>
    <w:rsid w:val="005F4109"/>
    <w:rsid w:val="005F5A76"/>
    <w:rsid w:val="00602A35"/>
    <w:rsid w:val="00603752"/>
    <w:rsid w:val="00617BFA"/>
    <w:rsid w:val="0063683A"/>
    <w:rsid w:val="006401A3"/>
    <w:rsid w:val="006516FE"/>
    <w:rsid w:val="00655C37"/>
    <w:rsid w:val="006579DF"/>
    <w:rsid w:val="00670809"/>
    <w:rsid w:val="00675706"/>
    <w:rsid w:val="00685941"/>
    <w:rsid w:val="0069054F"/>
    <w:rsid w:val="00690CC9"/>
    <w:rsid w:val="00697A5A"/>
    <w:rsid w:val="006A0488"/>
    <w:rsid w:val="006A108B"/>
    <w:rsid w:val="006B1BC6"/>
    <w:rsid w:val="006C1396"/>
    <w:rsid w:val="006C5458"/>
    <w:rsid w:val="006C6CC8"/>
    <w:rsid w:val="006C7473"/>
    <w:rsid w:val="006D0EEA"/>
    <w:rsid w:val="006E0A6A"/>
    <w:rsid w:val="006E68D2"/>
    <w:rsid w:val="006F1488"/>
    <w:rsid w:val="006F18FA"/>
    <w:rsid w:val="00703768"/>
    <w:rsid w:val="00706A7B"/>
    <w:rsid w:val="00706FBE"/>
    <w:rsid w:val="007108EA"/>
    <w:rsid w:val="00715D86"/>
    <w:rsid w:val="00755DA2"/>
    <w:rsid w:val="0075620B"/>
    <w:rsid w:val="00766BE9"/>
    <w:rsid w:val="00771E08"/>
    <w:rsid w:val="00775C9F"/>
    <w:rsid w:val="0078024D"/>
    <w:rsid w:val="00784C3F"/>
    <w:rsid w:val="00790A1F"/>
    <w:rsid w:val="007A3702"/>
    <w:rsid w:val="007A44CF"/>
    <w:rsid w:val="007B4648"/>
    <w:rsid w:val="007B57FF"/>
    <w:rsid w:val="007B7204"/>
    <w:rsid w:val="007B74E4"/>
    <w:rsid w:val="007C75A3"/>
    <w:rsid w:val="007C7B4C"/>
    <w:rsid w:val="007D5CB7"/>
    <w:rsid w:val="007E13C9"/>
    <w:rsid w:val="007E1805"/>
    <w:rsid w:val="007F23A3"/>
    <w:rsid w:val="00800DC0"/>
    <w:rsid w:val="00806917"/>
    <w:rsid w:val="00817738"/>
    <w:rsid w:val="00821E52"/>
    <w:rsid w:val="008319C7"/>
    <w:rsid w:val="008368F0"/>
    <w:rsid w:val="00836F5A"/>
    <w:rsid w:val="00840C1D"/>
    <w:rsid w:val="00846991"/>
    <w:rsid w:val="0085295C"/>
    <w:rsid w:val="00854B69"/>
    <w:rsid w:val="0085615B"/>
    <w:rsid w:val="00860952"/>
    <w:rsid w:val="008716F7"/>
    <w:rsid w:val="00873D03"/>
    <w:rsid w:val="00893064"/>
    <w:rsid w:val="00897E54"/>
    <w:rsid w:val="008A0736"/>
    <w:rsid w:val="008A0F76"/>
    <w:rsid w:val="008B2018"/>
    <w:rsid w:val="008C411B"/>
    <w:rsid w:val="008C7E79"/>
    <w:rsid w:val="008D1DB3"/>
    <w:rsid w:val="008F29B2"/>
    <w:rsid w:val="008F404F"/>
    <w:rsid w:val="00900D32"/>
    <w:rsid w:val="00901E20"/>
    <w:rsid w:val="00917874"/>
    <w:rsid w:val="0092330C"/>
    <w:rsid w:val="0092697A"/>
    <w:rsid w:val="00935A36"/>
    <w:rsid w:val="009363C8"/>
    <w:rsid w:val="00941B93"/>
    <w:rsid w:val="009455FE"/>
    <w:rsid w:val="00960B20"/>
    <w:rsid w:val="009643B3"/>
    <w:rsid w:val="0096722C"/>
    <w:rsid w:val="00973991"/>
    <w:rsid w:val="009774BC"/>
    <w:rsid w:val="009862B8"/>
    <w:rsid w:val="0099088D"/>
    <w:rsid w:val="0099221E"/>
    <w:rsid w:val="009A11E4"/>
    <w:rsid w:val="009A7B0D"/>
    <w:rsid w:val="009A7FDA"/>
    <w:rsid w:val="009B159B"/>
    <w:rsid w:val="009B16D5"/>
    <w:rsid w:val="009C37F9"/>
    <w:rsid w:val="009C608F"/>
    <w:rsid w:val="009D13A5"/>
    <w:rsid w:val="009D4F90"/>
    <w:rsid w:val="009D6793"/>
    <w:rsid w:val="009E23D6"/>
    <w:rsid w:val="009F0905"/>
    <w:rsid w:val="009F4D47"/>
    <w:rsid w:val="00A1586E"/>
    <w:rsid w:val="00A23456"/>
    <w:rsid w:val="00A23EAE"/>
    <w:rsid w:val="00A31CD3"/>
    <w:rsid w:val="00A365A1"/>
    <w:rsid w:val="00A41026"/>
    <w:rsid w:val="00A56BCA"/>
    <w:rsid w:val="00A703AC"/>
    <w:rsid w:val="00A73135"/>
    <w:rsid w:val="00A81FBC"/>
    <w:rsid w:val="00A853F0"/>
    <w:rsid w:val="00A91596"/>
    <w:rsid w:val="00A95751"/>
    <w:rsid w:val="00AA175A"/>
    <w:rsid w:val="00AA3F85"/>
    <w:rsid w:val="00AA6A70"/>
    <w:rsid w:val="00AA74ED"/>
    <w:rsid w:val="00AA7CEF"/>
    <w:rsid w:val="00AC0911"/>
    <w:rsid w:val="00AC63F2"/>
    <w:rsid w:val="00AD3A82"/>
    <w:rsid w:val="00AD59A1"/>
    <w:rsid w:val="00AE0C7D"/>
    <w:rsid w:val="00AF0EC5"/>
    <w:rsid w:val="00AF6DD3"/>
    <w:rsid w:val="00B02A2F"/>
    <w:rsid w:val="00B12156"/>
    <w:rsid w:val="00B24CC9"/>
    <w:rsid w:val="00B26396"/>
    <w:rsid w:val="00B332BA"/>
    <w:rsid w:val="00B34DFC"/>
    <w:rsid w:val="00B36FB0"/>
    <w:rsid w:val="00B7117E"/>
    <w:rsid w:val="00B814DF"/>
    <w:rsid w:val="00B870B2"/>
    <w:rsid w:val="00B92AE5"/>
    <w:rsid w:val="00B97801"/>
    <w:rsid w:val="00B97BE5"/>
    <w:rsid w:val="00BA20BA"/>
    <w:rsid w:val="00BA214B"/>
    <w:rsid w:val="00BA4CF7"/>
    <w:rsid w:val="00BB2C34"/>
    <w:rsid w:val="00BC2012"/>
    <w:rsid w:val="00BD595D"/>
    <w:rsid w:val="00BD7E2B"/>
    <w:rsid w:val="00BE5FB7"/>
    <w:rsid w:val="00BF2375"/>
    <w:rsid w:val="00BF2D4A"/>
    <w:rsid w:val="00BF317E"/>
    <w:rsid w:val="00C00FAF"/>
    <w:rsid w:val="00C015BB"/>
    <w:rsid w:val="00C12845"/>
    <w:rsid w:val="00C1654C"/>
    <w:rsid w:val="00C2182E"/>
    <w:rsid w:val="00C305BC"/>
    <w:rsid w:val="00C31A12"/>
    <w:rsid w:val="00C31CA6"/>
    <w:rsid w:val="00C35BBA"/>
    <w:rsid w:val="00C43485"/>
    <w:rsid w:val="00C77D82"/>
    <w:rsid w:val="00C84FC7"/>
    <w:rsid w:val="00C85A7B"/>
    <w:rsid w:val="00C9090B"/>
    <w:rsid w:val="00CA2A3A"/>
    <w:rsid w:val="00CA4FDA"/>
    <w:rsid w:val="00CC2366"/>
    <w:rsid w:val="00CC5E19"/>
    <w:rsid w:val="00CD0E2A"/>
    <w:rsid w:val="00CD67F9"/>
    <w:rsid w:val="00CE619E"/>
    <w:rsid w:val="00CE69A8"/>
    <w:rsid w:val="00CF31B5"/>
    <w:rsid w:val="00D01B92"/>
    <w:rsid w:val="00D033F7"/>
    <w:rsid w:val="00D04080"/>
    <w:rsid w:val="00D04AF6"/>
    <w:rsid w:val="00D04DF2"/>
    <w:rsid w:val="00D10524"/>
    <w:rsid w:val="00D14237"/>
    <w:rsid w:val="00D2029C"/>
    <w:rsid w:val="00D26C52"/>
    <w:rsid w:val="00D30781"/>
    <w:rsid w:val="00D308D4"/>
    <w:rsid w:val="00D377D3"/>
    <w:rsid w:val="00D41BC3"/>
    <w:rsid w:val="00D428F3"/>
    <w:rsid w:val="00D446D8"/>
    <w:rsid w:val="00D5506C"/>
    <w:rsid w:val="00D55DAF"/>
    <w:rsid w:val="00D65047"/>
    <w:rsid w:val="00D66C1C"/>
    <w:rsid w:val="00D712F1"/>
    <w:rsid w:val="00D71EBB"/>
    <w:rsid w:val="00D72748"/>
    <w:rsid w:val="00D73F38"/>
    <w:rsid w:val="00D77B1D"/>
    <w:rsid w:val="00D950B5"/>
    <w:rsid w:val="00DA18C3"/>
    <w:rsid w:val="00DA5C48"/>
    <w:rsid w:val="00DB1649"/>
    <w:rsid w:val="00DB6577"/>
    <w:rsid w:val="00DF5E58"/>
    <w:rsid w:val="00DF7C3F"/>
    <w:rsid w:val="00E00D1F"/>
    <w:rsid w:val="00E03603"/>
    <w:rsid w:val="00E0529F"/>
    <w:rsid w:val="00E14F0A"/>
    <w:rsid w:val="00E17A7D"/>
    <w:rsid w:val="00E4687F"/>
    <w:rsid w:val="00E50728"/>
    <w:rsid w:val="00E525DA"/>
    <w:rsid w:val="00E64699"/>
    <w:rsid w:val="00E649A4"/>
    <w:rsid w:val="00E704C1"/>
    <w:rsid w:val="00E74DD3"/>
    <w:rsid w:val="00E80465"/>
    <w:rsid w:val="00E8122D"/>
    <w:rsid w:val="00E915B4"/>
    <w:rsid w:val="00E921AD"/>
    <w:rsid w:val="00E94505"/>
    <w:rsid w:val="00EB6D44"/>
    <w:rsid w:val="00ED340C"/>
    <w:rsid w:val="00F07D60"/>
    <w:rsid w:val="00F326AC"/>
    <w:rsid w:val="00F355DC"/>
    <w:rsid w:val="00F6382E"/>
    <w:rsid w:val="00F7159C"/>
    <w:rsid w:val="00F71F13"/>
    <w:rsid w:val="00F769AB"/>
    <w:rsid w:val="00F82722"/>
    <w:rsid w:val="00F92B24"/>
    <w:rsid w:val="00F96114"/>
    <w:rsid w:val="00FA153F"/>
    <w:rsid w:val="00FA21D4"/>
    <w:rsid w:val="00FB49B0"/>
    <w:rsid w:val="00FB6F56"/>
    <w:rsid w:val="00FC0BA4"/>
    <w:rsid w:val="00FC1C43"/>
    <w:rsid w:val="00FC4070"/>
    <w:rsid w:val="00FC47CA"/>
    <w:rsid w:val="00FD6E3D"/>
    <w:rsid w:val="00FE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E85E8E"/>
  <w15:docId w15:val="{8C72D0C6-C84A-44F6-9A0D-3615C69D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48"/>
    <w:rPr>
      <w:sz w:val="24"/>
    </w:rPr>
  </w:style>
  <w:style w:type="paragraph" w:styleId="Heading1">
    <w:name w:val="heading 1"/>
    <w:aliases w:val="Title 2"/>
    <w:basedOn w:val="Header1"/>
    <w:next w:val="Normal"/>
    <w:link w:val="Heading1Char"/>
    <w:qFormat/>
    <w:rsid w:val="00800DC0"/>
    <w:pPr>
      <w:outlineLvl w:val="0"/>
    </w:pPr>
  </w:style>
  <w:style w:type="paragraph" w:styleId="Heading4">
    <w:name w:val="heading 4"/>
    <w:basedOn w:val="Normal"/>
    <w:next w:val="Normal"/>
    <w:qFormat/>
    <w:rsid w:val="00AA74ED"/>
    <w:pPr>
      <w:keepNext/>
      <w:numPr>
        <w:ilvl w:val="3"/>
        <w:numId w:val="1"/>
      </w:numPr>
      <w:spacing w:before="240" w:after="60"/>
      <w:outlineLvl w:val="3"/>
    </w:pPr>
    <w:rPr>
      <w:b/>
      <w:bCs/>
      <w:sz w:val="28"/>
      <w:szCs w:val="28"/>
    </w:rPr>
  </w:style>
  <w:style w:type="paragraph" w:styleId="Heading5">
    <w:name w:val="heading 5"/>
    <w:basedOn w:val="Normal"/>
    <w:next w:val="Normal"/>
    <w:qFormat/>
    <w:rsid w:val="00AA74ED"/>
    <w:pPr>
      <w:numPr>
        <w:ilvl w:val="4"/>
        <w:numId w:val="1"/>
      </w:numPr>
      <w:spacing w:before="240" w:after="60"/>
      <w:outlineLvl w:val="4"/>
    </w:pPr>
    <w:rPr>
      <w:b/>
      <w:bCs/>
      <w:i/>
      <w:iCs/>
      <w:sz w:val="26"/>
      <w:szCs w:val="26"/>
    </w:rPr>
  </w:style>
  <w:style w:type="paragraph" w:styleId="Heading6">
    <w:name w:val="heading 6"/>
    <w:basedOn w:val="Normal"/>
    <w:next w:val="Normal"/>
    <w:qFormat/>
    <w:rsid w:val="00AA74ED"/>
    <w:pPr>
      <w:numPr>
        <w:ilvl w:val="5"/>
        <w:numId w:val="1"/>
      </w:numPr>
      <w:spacing w:before="240" w:after="60"/>
      <w:outlineLvl w:val="5"/>
    </w:pPr>
    <w:rPr>
      <w:b/>
      <w:bCs/>
      <w:sz w:val="22"/>
      <w:szCs w:val="22"/>
    </w:rPr>
  </w:style>
  <w:style w:type="paragraph" w:styleId="Heading7">
    <w:name w:val="heading 7"/>
    <w:basedOn w:val="Normal"/>
    <w:next w:val="Normal"/>
    <w:qFormat/>
    <w:rsid w:val="00AA74ED"/>
    <w:pPr>
      <w:numPr>
        <w:ilvl w:val="6"/>
        <w:numId w:val="1"/>
      </w:numPr>
      <w:spacing w:before="240" w:after="60"/>
      <w:outlineLvl w:val="6"/>
    </w:pPr>
  </w:style>
  <w:style w:type="paragraph" w:styleId="Heading8">
    <w:name w:val="heading 8"/>
    <w:basedOn w:val="Normal"/>
    <w:next w:val="Normal"/>
    <w:qFormat/>
    <w:rsid w:val="00AA74ED"/>
    <w:pPr>
      <w:numPr>
        <w:ilvl w:val="7"/>
        <w:numId w:val="1"/>
      </w:numPr>
      <w:spacing w:before="240" w:after="60"/>
      <w:outlineLvl w:val="7"/>
    </w:pPr>
    <w:rPr>
      <w:i/>
      <w:iCs/>
    </w:rPr>
  </w:style>
  <w:style w:type="paragraph" w:styleId="Heading9">
    <w:name w:val="heading 9"/>
    <w:basedOn w:val="Normal"/>
    <w:next w:val="Normal"/>
    <w:qFormat/>
    <w:rsid w:val="00AA74E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AA74ED"/>
    <w:pPr>
      <w:numPr>
        <w:ilvl w:val="2"/>
        <w:numId w:val="1"/>
      </w:numPr>
      <w:spacing w:after="120"/>
    </w:pPr>
    <w:rPr>
      <w:rFonts w:ascii="Arial" w:hAnsi="Arial"/>
      <w:sz w:val="22"/>
    </w:rPr>
  </w:style>
  <w:style w:type="paragraph" w:customStyle="1" w:styleId="Title1">
    <w:name w:val="Title1"/>
    <w:basedOn w:val="Normal"/>
    <w:next w:val="BodyText"/>
    <w:rsid w:val="00AA74ED"/>
    <w:pPr>
      <w:shd w:val="clear" w:color="auto" w:fill="800080"/>
      <w:spacing w:before="120" w:after="120"/>
      <w:jc w:val="center"/>
    </w:pPr>
    <w:rPr>
      <w:rFonts w:ascii="Arial" w:hAnsi="Arial"/>
      <w:b/>
      <w:color w:val="FFFF00"/>
    </w:rPr>
  </w:style>
  <w:style w:type="paragraph" w:customStyle="1" w:styleId="Header1">
    <w:name w:val="Header1"/>
    <w:basedOn w:val="GLH1"/>
    <w:next w:val="BodyText"/>
    <w:rsid w:val="00800DC0"/>
    <w:rPr>
      <w:rFonts w:eastAsiaTheme="minorHAnsi"/>
      <w:lang w:eastAsia="en-US"/>
    </w:rPr>
  </w:style>
  <w:style w:type="paragraph" w:customStyle="1" w:styleId="Header2">
    <w:name w:val="Header2"/>
    <w:basedOn w:val="Normal"/>
    <w:next w:val="BodyText"/>
    <w:link w:val="Header2Char"/>
    <w:rsid w:val="00AA74ED"/>
    <w:pPr>
      <w:numPr>
        <w:ilvl w:val="1"/>
        <w:numId w:val="1"/>
      </w:numPr>
      <w:spacing w:after="120"/>
    </w:pPr>
    <w:rPr>
      <w:rFonts w:ascii="Arial" w:hAnsi="Arial"/>
      <w:b/>
      <w:sz w:val="22"/>
      <w:u w:val="single"/>
    </w:rPr>
  </w:style>
  <w:style w:type="paragraph" w:styleId="Footer">
    <w:name w:val="footer"/>
    <w:basedOn w:val="Normal"/>
    <w:link w:val="FooterChar"/>
    <w:uiPriority w:val="99"/>
    <w:rsid w:val="00482B06"/>
    <w:pPr>
      <w:tabs>
        <w:tab w:val="center" w:pos="4153"/>
        <w:tab w:val="right" w:pos="8306"/>
      </w:tabs>
    </w:pPr>
  </w:style>
  <w:style w:type="character" w:styleId="PageNumber">
    <w:name w:val="page number"/>
    <w:basedOn w:val="DefaultParagraphFont"/>
    <w:rsid w:val="00482B06"/>
  </w:style>
  <w:style w:type="paragraph" w:styleId="Header">
    <w:name w:val="header"/>
    <w:basedOn w:val="Normal"/>
    <w:rsid w:val="00482B06"/>
    <w:pPr>
      <w:tabs>
        <w:tab w:val="center" w:pos="4320"/>
        <w:tab w:val="right" w:pos="8640"/>
      </w:tabs>
    </w:pPr>
  </w:style>
  <w:style w:type="paragraph" w:styleId="BodyText0">
    <w:name w:val="Body Text"/>
    <w:basedOn w:val="Normal"/>
    <w:rsid w:val="00482B06"/>
    <w:pPr>
      <w:jc w:val="center"/>
    </w:pPr>
  </w:style>
  <w:style w:type="table" w:styleId="TableGrid">
    <w:name w:val="Table Grid"/>
    <w:basedOn w:val="TableNormal"/>
    <w:rsid w:val="002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2 Char"/>
    <w:link w:val="Header2"/>
    <w:rsid w:val="00B02A2F"/>
    <w:rPr>
      <w:rFonts w:ascii="Arial" w:hAnsi="Arial"/>
      <w:b/>
      <w:sz w:val="22"/>
      <w:u w:val="single"/>
      <w:lang w:val="en-GB" w:eastAsia="en-GB" w:bidi="ar-SA"/>
    </w:rPr>
  </w:style>
  <w:style w:type="character" w:customStyle="1" w:styleId="BodyTextChar">
    <w:name w:val="BodyText Char"/>
    <w:link w:val="BodyText"/>
    <w:rsid w:val="00B02A2F"/>
    <w:rPr>
      <w:rFonts w:ascii="Arial" w:hAnsi="Arial"/>
      <w:sz w:val="22"/>
      <w:lang w:val="en-GB" w:eastAsia="en-GB" w:bidi="ar-SA"/>
    </w:rPr>
  </w:style>
  <w:style w:type="paragraph" w:customStyle="1" w:styleId="BodyText2">
    <w:name w:val="BodyText2"/>
    <w:basedOn w:val="Normal"/>
    <w:rsid w:val="00B02A2F"/>
    <w:pPr>
      <w:tabs>
        <w:tab w:val="num" w:pos="576"/>
      </w:tabs>
      <w:spacing w:after="120"/>
      <w:ind w:left="576" w:hanging="576"/>
    </w:pPr>
    <w:rPr>
      <w:rFonts w:ascii="Arial" w:hAnsi="Arial"/>
      <w:sz w:val="22"/>
    </w:rPr>
  </w:style>
  <w:style w:type="paragraph" w:customStyle="1" w:styleId="StyleHeader1Left0cmFirstline0cm">
    <w:name w:val="Style Header1 + Left:  0 cm First line:  0 cm"/>
    <w:basedOn w:val="Header1"/>
    <w:rsid w:val="00B02A2F"/>
    <w:pPr>
      <w:tabs>
        <w:tab w:val="num" w:pos="432"/>
      </w:tabs>
      <w:ind w:left="432" w:hanging="432"/>
    </w:pPr>
    <w:rPr>
      <w:bCs/>
    </w:rPr>
  </w:style>
  <w:style w:type="character" w:styleId="Hyperlink">
    <w:name w:val="Hyperlink"/>
    <w:uiPriority w:val="99"/>
    <w:rsid w:val="00B02A2F"/>
    <w:rPr>
      <w:color w:val="0000FF"/>
      <w:u w:val="single"/>
    </w:rPr>
  </w:style>
  <w:style w:type="character" w:customStyle="1" w:styleId="FooterChar">
    <w:name w:val="Footer Char"/>
    <w:link w:val="Footer"/>
    <w:uiPriority w:val="99"/>
    <w:rsid w:val="00256CC5"/>
    <w:rPr>
      <w:sz w:val="24"/>
    </w:rPr>
  </w:style>
  <w:style w:type="character" w:customStyle="1" w:styleId="Heading1Char">
    <w:name w:val="Heading 1 Char"/>
    <w:aliases w:val="Title 2 Char"/>
    <w:basedOn w:val="DefaultParagraphFont"/>
    <w:link w:val="Heading1"/>
    <w:rsid w:val="00800DC0"/>
    <w:rPr>
      <w:rFonts w:ascii="Verdana" w:eastAsiaTheme="minorHAnsi" w:hAnsi="Verdana" w:cstheme="minorHAnsi"/>
      <w:b/>
      <w:sz w:val="22"/>
      <w:szCs w:val="22"/>
      <w:lang w:eastAsia="en-US"/>
    </w:rPr>
  </w:style>
  <w:style w:type="character" w:styleId="Strong">
    <w:name w:val="Strong"/>
    <w:basedOn w:val="DefaultParagraphFont"/>
    <w:qFormat/>
    <w:rsid w:val="008716F7"/>
    <w:rPr>
      <w:b/>
      <w:bCs/>
    </w:rPr>
  </w:style>
  <w:style w:type="paragraph" w:customStyle="1" w:styleId="GLH1">
    <w:name w:val="GLH1"/>
    <w:basedOn w:val="NoSpacing"/>
    <w:link w:val="GLH1Char"/>
    <w:qFormat/>
    <w:rsid w:val="00800DC0"/>
    <w:pPr>
      <w:tabs>
        <w:tab w:val="left" w:pos="0"/>
      </w:tabs>
    </w:pPr>
    <w:rPr>
      <w:rFonts w:ascii="Verdana" w:hAnsi="Verdana" w:cstheme="minorHAnsi"/>
      <w:b/>
      <w:sz w:val="22"/>
      <w:szCs w:val="22"/>
    </w:rPr>
  </w:style>
  <w:style w:type="paragraph" w:customStyle="1" w:styleId="GLHContents">
    <w:name w:val="GLH Contents"/>
    <w:basedOn w:val="Normal"/>
    <w:link w:val="GLHContentsChar"/>
    <w:qFormat/>
    <w:rsid w:val="00343989"/>
    <w:rPr>
      <w:rFonts w:ascii="Verdana" w:hAnsi="Verdana" w:cstheme="minorHAnsi"/>
      <w:b/>
      <w:sz w:val="22"/>
      <w:szCs w:val="22"/>
    </w:rPr>
  </w:style>
  <w:style w:type="character" w:customStyle="1" w:styleId="GLH1Char">
    <w:name w:val="GLH1 Char"/>
    <w:basedOn w:val="DefaultParagraphFont"/>
    <w:link w:val="GLH1"/>
    <w:rsid w:val="00800DC0"/>
    <w:rPr>
      <w:rFonts w:ascii="Verdana" w:hAnsi="Verdana" w:cstheme="minorHAnsi"/>
      <w:b/>
      <w:sz w:val="22"/>
      <w:szCs w:val="22"/>
    </w:rPr>
  </w:style>
  <w:style w:type="paragraph" w:customStyle="1" w:styleId="GLHNormal">
    <w:name w:val="GLH Normal"/>
    <w:basedOn w:val="Normal"/>
    <w:link w:val="GLHNormalChar"/>
    <w:qFormat/>
    <w:rsid w:val="006E68D2"/>
    <w:rPr>
      <w:rFonts w:ascii="Verdana" w:hAnsi="Verdana" w:cstheme="minorHAnsi"/>
      <w:sz w:val="22"/>
      <w:szCs w:val="22"/>
    </w:rPr>
  </w:style>
  <w:style w:type="character" w:customStyle="1" w:styleId="GLHContentsChar">
    <w:name w:val="GLH Contents Char"/>
    <w:basedOn w:val="DefaultParagraphFont"/>
    <w:link w:val="GLHContents"/>
    <w:rsid w:val="00343989"/>
    <w:rPr>
      <w:rFonts w:ascii="Verdana" w:hAnsi="Verdana" w:cstheme="minorHAnsi"/>
      <w:b/>
      <w:sz w:val="22"/>
      <w:szCs w:val="22"/>
    </w:rPr>
  </w:style>
  <w:style w:type="character" w:customStyle="1" w:styleId="GLHNormalChar">
    <w:name w:val="GLH Normal Char"/>
    <w:basedOn w:val="DefaultParagraphFont"/>
    <w:link w:val="GLHNormal"/>
    <w:rsid w:val="006E68D2"/>
    <w:rPr>
      <w:rFonts w:ascii="Verdana" w:hAnsi="Verdana" w:cstheme="minorHAnsi"/>
      <w:sz w:val="22"/>
      <w:szCs w:val="22"/>
    </w:rPr>
  </w:style>
  <w:style w:type="character" w:customStyle="1" w:styleId="UnresolvedMention1">
    <w:name w:val="Unresolved Mention1"/>
    <w:basedOn w:val="DefaultParagraphFont"/>
    <w:uiPriority w:val="99"/>
    <w:semiHidden/>
    <w:unhideWhenUsed/>
    <w:rsid w:val="00571C49"/>
    <w:rPr>
      <w:color w:val="605E5C"/>
      <w:shd w:val="clear" w:color="auto" w:fill="E1DFDD"/>
    </w:rPr>
  </w:style>
  <w:style w:type="character" w:styleId="FollowedHyperlink">
    <w:name w:val="FollowedHyperlink"/>
    <w:basedOn w:val="DefaultParagraphFont"/>
    <w:semiHidden/>
    <w:unhideWhenUsed/>
    <w:rsid w:val="00571C49"/>
    <w:rPr>
      <w:color w:val="800080" w:themeColor="followedHyperlink"/>
      <w:u w:val="single"/>
    </w:rPr>
  </w:style>
  <w:style w:type="paragraph" w:styleId="ListParagraph">
    <w:name w:val="List Paragraph"/>
    <w:basedOn w:val="Normal"/>
    <w:uiPriority w:val="34"/>
    <w:qFormat/>
    <w:rsid w:val="00D950B5"/>
    <w:pPr>
      <w:ind w:left="720"/>
      <w:contextualSpacing/>
    </w:pPr>
  </w:style>
  <w:style w:type="paragraph" w:styleId="IntenseQuote">
    <w:name w:val="Intense Quote"/>
    <w:basedOn w:val="Normal"/>
    <w:next w:val="Normal"/>
    <w:link w:val="IntenseQuoteChar"/>
    <w:uiPriority w:val="30"/>
    <w:qFormat/>
    <w:rsid w:val="007A37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3702"/>
    <w:rPr>
      <w:i/>
      <w:iCs/>
      <w:color w:val="4F81BD" w:themeColor="accent1"/>
      <w:sz w:val="24"/>
    </w:rPr>
  </w:style>
  <w:style w:type="paragraph" w:customStyle="1" w:styleId="GLH2">
    <w:name w:val="GLH2"/>
    <w:basedOn w:val="Normal"/>
    <w:link w:val="GLH2Char"/>
    <w:qFormat/>
    <w:rsid w:val="007A3702"/>
    <w:rPr>
      <w:rFonts w:ascii="Verdana" w:hAnsi="Verdana" w:cstheme="minorHAnsi"/>
      <w:b/>
      <w:bCs/>
      <w:sz w:val="22"/>
      <w:szCs w:val="22"/>
    </w:rPr>
  </w:style>
  <w:style w:type="character" w:customStyle="1" w:styleId="GLH2Char">
    <w:name w:val="GLH2 Char"/>
    <w:basedOn w:val="DefaultParagraphFont"/>
    <w:link w:val="GLH2"/>
    <w:rsid w:val="007A3702"/>
    <w:rPr>
      <w:rFonts w:ascii="Verdana" w:hAnsi="Verdana" w:cstheme="minorHAnsi"/>
      <w:b/>
      <w:bCs/>
      <w:sz w:val="22"/>
      <w:szCs w:val="22"/>
    </w:rPr>
  </w:style>
  <w:style w:type="paragraph" w:styleId="TOCHeading">
    <w:name w:val="TOC Heading"/>
    <w:basedOn w:val="Heading1"/>
    <w:next w:val="Normal"/>
    <w:uiPriority w:val="39"/>
    <w:unhideWhenUsed/>
    <w:qFormat/>
    <w:rsid w:val="00655C37"/>
    <w:pPr>
      <w:spacing w:line="259" w:lineRule="auto"/>
      <w:outlineLvl w:val="9"/>
    </w:pPr>
    <w:rPr>
      <w:lang w:val="en-US"/>
    </w:rPr>
  </w:style>
  <w:style w:type="paragraph" w:styleId="TOC1">
    <w:name w:val="toc 1"/>
    <w:basedOn w:val="Normal"/>
    <w:next w:val="Normal"/>
    <w:autoRedefine/>
    <w:uiPriority w:val="39"/>
    <w:unhideWhenUsed/>
    <w:rsid w:val="00B97BE5"/>
    <w:pPr>
      <w:spacing w:after="100"/>
    </w:pPr>
    <w:rPr>
      <w:rFonts w:ascii="Verdana" w:hAnsi="Verdana"/>
      <w:sz w:val="20"/>
    </w:rPr>
  </w:style>
  <w:style w:type="paragraph" w:styleId="TOC2">
    <w:name w:val="toc 2"/>
    <w:basedOn w:val="Normal"/>
    <w:next w:val="Normal"/>
    <w:autoRedefine/>
    <w:uiPriority w:val="39"/>
    <w:unhideWhenUsed/>
    <w:rsid w:val="00B97BE5"/>
    <w:pPr>
      <w:spacing w:after="100"/>
      <w:ind w:left="240"/>
    </w:pPr>
    <w:rPr>
      <w:rFonts w:ascii="Verdana" w:hAnsi="Verdana"/>
      <w:sz w:val="20"/>
    </w:rPr>
  </w:style>
  <w:style w:type="paragraph" w:styleId="TOC3">
    <w:name w:val="toc 3"/>
    <w:basedOn w:val="Normal"/>
    <w:next w:val="Normal"/>
    <w:autoRedefine/>
    <w:uiPriority w:val="39"/>
    <w:unhideWhenUsed/>
    <w:rsid w:val="00B97BE5"/>
    <w:pPr>
      <w:spacing w:after="100"/>
      <w:ind w:left="480"/>
    </w:pPr>
    <w:rPr>
      <w:rFonts w:ascii="Verdana" w:hAnsi="Verdana"/>
      <w:sz w:val="20"/>
    </w:rPr>
  </w:style>
  <w:style w:type="paragraph" w:customStyle="1" w:styleId="Title2">
    <w:name w:val="Title2"/>
    <w:basedOn w:val="Normal"/>
    <w:next w:val="BodyText"/>
    <w:rsid w:val="005C5FEA"/>
    <w:pPr>
      <w:shd w:val="clear" w:color="auto" w:fill="800080"/>
      <w:spacing w:before="120" w:after="120"/>
      <w:jc w:val="center"/>
    </w:pPr>
    <w:rPr>
      <w:rFonts w:ascii="Arial" w:hAnsi="Arial"/>
      <w:b/>
      <w:color w:val="FFFF00"/>
    </w:rPr>
  </w:style>
  <w:style w:type="paragraph" w:styleId="BalloonText">
    <w:name w:val="Balloon Text"/>
    <w:basedOn w:val="Normal"/>
    <w:link w:val="BalloonTextChar"/>
    <w:rsid w:val="000305FC"/>
    <w:rPr>
      <w:rFonts w:ascii="Tahoma" w:hAnsi="Tahoma" w:cs="Tahoma"/>
      <w:sz w:val="16"/>
      <w:szCs w:val="16"/>
    </w:rPr>
  </w:style>
  <w:style w:type="character" w:customStyle="1" w:styleId="BalloonTextChar">
    <w:name w:val="Balloon Text Char"/>
    <w:basedOn w:val="DefaultParagraphFont"/>
    <w:link w:val="BalloonText"/>
    <w:rsid w:val="000305FC"/>
    <w:rPr>
      <w:rFonts w:ascii="Tahoma" w:hAnsi="Tahoma" w:cs="Tahoma"/>
      <w:sz w:val="16"/>
      <w:szCs w:val="16"/>
    </w:rPr>
  </w:style>
  <w:style w:type="paragraph" w:styleId="NoSpacing">
    <w:name w:val="No Spacing"/>
    <w:uiPriority w:val="1"/>
    <w:qFormat/>
    <w:rsid w:val="005F41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st-selection-private.genomics.nhs.uk/test-selection"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t-selection-private.genomics.nhs.uk/test-selec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icseducation.hee.nhs.uk/supporting-the-nhs-genomic-medicine-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st-selection-private.genomics.nhs.uk/test-sel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st-selection-private.genomics.nhs.uk/test-selection"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ADE2-9870-42E6-A06C-90BEAB0C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18602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TITLE</vt:lpstr>
    </vt:vector>
  </TitlesOfParts>
  <Company>Addenbrookes NHS Trust</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Info Services</dc:creator>
  <cp:lastModifiedBy>Hamblin, Lorna</cp:lastModifiedBy>
  <cp:revision>2</cp:revision>
  <cp:lastPrinted>2015-11-10T08:08:00Z</cp:lastPrinted>
  <dcterms:created xsi:type="dcterms:W3CDTF">2021-08-16T15:08:00Z</dcterms:created>
  <dcterms:modified xsi:type="dcterms:W3CDTF">2021-08-16T15:08:00Z</dcterms:modified>
</cp:coreProperties>
</file>